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7A9" w:rsidRPr="004537A9" w:rsidRDefault="004537A9" w:rsidP="004537A9">
      <w:pPr>
        <w:spacing w:after="0" w:line="240" w:lineRule="auto"/>
        <w:jc w:val="both"/>
        <w:rPr>
          <w:rFonts w:eastAsia="Times New Roman" w:cs="Times New Roman"/>
          <w:szCs w:val="24"/>
          <w:lang w:eastAsia="es-CO"/>
        </w:rPr>
      </w:pPr>
    </w:p>
    <w:p w:rsidR="004537A9" w:rsidRPr="004537A9" w:rsidRDefault="004537A9" w:rsidP="004537A9">
      <w:pPr>
        <w:spacing w:after="0" w:line="240" w:lineRule="auto"/>
        <w:jc w:val="both"/>
        <w:rPr>
          <w:rFonts w:eastAsia="Times New Roman" w:cs="Times New Roman"/>
          <w:szCs w:val="24"/>
          <w:lang w:eastAsia="es-CO"/>
        </w:rPr>
      </w:pPr>
    </w:p>
    <w:p w:rsidR="004537A9" w:rsidRPr="004537A9" w:rsidRDefault="004537A9" w:rsidP="004537A9">
      <w:pPr>
        <w:spacing w:after="0" w:line="240" w:lineRule="auto"/>
        <w:jc w:val="both"/>
        <w:rPr>
          <w:rFonts w:eastAsia="Times New Roman" w:cs="Times New Roman"/>
          <w:szCs w:val="24"/>
          <w:lang w:eastAsia="es-CO"/>
        </w:rPr>
      </w:pPr>
    </w:p>
    <w:p w:rsidR="004537A9" w:rsidRPr="004537A9" w:rsidRDefault="004537A9" w:rsidP="004537A9">
      <w:pPr>
        <w:spacing w:after="0" w:line="240" w:lineRule="auto"/>
        <w:jc w:val="center"/>
        <w:rPr>
          <w:rFonts w:eastAsia="Times New Roman" w:cs="Times New Roman"/>
          <w:szCs w:val="24"/>
          <w:lang w:eastAsia="es-CO"/>
        </w:rPr>
      </w:pPr>
      <w:r w:rsidRPr="004537A9">
        <w:rPr>
          <w:rFonts w:eastAsia="Times New Roman" w:cs="Times New Roman"/>
          <w:b/>
          <w:bCs/>
          <w:szCs w:val="24"/>
          <w:lang w:eastAsia="es-CO"/>
        </w:rPr>
        <w:t>OFICIO Nº 001825</w:t>
      </w:r>
    </w:p>
    <w:p w:rsidR="004537A9" w:rsidRPr="004537A9" w:rsidRDefault="004537A9" w:rsidP="004537A9">
      <w:pPr>
        <w:spacing w:after="0" w:line="240" w:lineRule="auto"/>
        <w:jc w:val="center"/>
        <w:rPr>
          <w:rFonts w:eastAsia="Times New Roman" w:cs="Times New Roman"/>
          <w:szCs w:val="24"/>
          <w:lang w:eastAsia="es-CO"/>
        </w:rPr>
      </w:pPr>
      <w:r w:rsidRPr="004537A9">
        <w:rPr>
          <w:rFonts w:eastAsia="Times New Roman" w:cs="Times New Roman"/>
          <w:b/>
          <w:bCs/>
          <w:szCs w:val="24"/>
          <w:lang w:eastAsia="es-CO"/>
        </w:rPr>
        <w:t>17-10-2018</w:t>
      </w:r>
    </w:p>
    <w:p w:rsidR="004537A9" w:rsidRPr="004537A9" w:rsidRDefault="004537A9" w:rsidP="004537A9">
      <w:pPr>
        <w:spacing w:after="0" w:line="240" w:lineRule="auto"/>
        <w:jc w:val="center"/>
        <w:rPr>
          <w:rFonts w:eastAsia="Times New Roman" w:cs="Times New Roman"/>
          <w:szCs w:val="24"/>
          <w:lang w:eastAsia="es-CO"/>
        </w:rPr>
      </w:pPr>
      <w:r w:rsidRPr="004537A9">
        <w:rPr>
          <w:rFonts w:eastAsia="Times New Roman" w:cs="Times New Roman"/>
          <w:b/>
          <w:bCs/>
          <w:szCs w:val="24"/>
          <w:lang w:eastAsia="es-CO"/>
        </w:rPr>
        <w:t>DIAN</w:t>
      </w:r>
    </w:p>
    <w:p w:rsidR="004537A9" w:rsidRPr="004537A9" w:rsidRDefault="004537A9" w:rsidP="004537A9">
      <w:pPr>
        <w:spacing w:after="0" w:line="240" w:lineRule="auto"/>
        <w:jc w:val="both"/>
        <w:rPr>
          <w:rFonts w:eastAsia="Times New Roman" w:cs="Times New Roman"/>
          <w:szCs w:val="24"/>
          <w:lang w:eastAsia="es-CO"/>
        </w:rPr>
      </w:pPr>
      <w:r w:rsidRPr="004537A9">
        <w:rPr>
          <w:rFonts w:eastAsia="Times New Roman" w:cs="Times New Roman"/>
          <w:b/>
          <w:bCs/>
          <w:szCs w:val="24"/>
          <w:lang w:eastAsia="es-CO"/>
        </w:rPr>
        <w:t> </w:t>
      </w:r>
    </w:p>
    <w:p w:rsidR="004537A9" w:rsidRPr="004537A9" w:rsidRDefault="004537A9" w:rsidP="004537A9">
      <w:pPr>
        <w:spacing w:after="0" w:line="240" w:lineRule="auto"/>
        <w:jc w:val="both"/>
        <w:rPr>
          <w:rFonts w:eastAsia="Times New Roman" w:cs="Times New Roman"/>
          <w:szCs w:val="24"/>
          <w:lang w:eastAsia="es-CO"/>
        </w:rPr>
      </w:pPr>
      <w:r w:rsidRPr="004537A9">
        <w:rPr>
          <w:rFonts w:eastAsia="Times New Roman" w:cs="Times New Roman"/>
          <w:b/>
          <w:bCs/>
          <w:szCs w:val="24"/>
          <w:lang w:eastAsia="es-CO"/>
        </w:rPr>
        <w:t> </w:t>
      </w:r>
      <w:bookmarkStart w:id="0" w:name="_GoBack"/>
      <w:bookmarkEnd w:id="0"/>
    </w:p>
    <w:p w:rsidR="004537A9" w:rsidRPr="004537A9" w:rsidRDefault="004537A9" w:rsidP="004537A9">
      <w:pPr>
        <w:spacing w:after="0" w:line="240" w:lineRule="auto"/>
        <w:jc w:val="both"/>
        <w:rPr>
          <w:rFonts w:eastAsia="Times New Roman" w:cs="Times New Roman"/>
          <w:szCs w:val="24"/>
          <w:lang w:eastAsia="es-CO"/>
        </w:rPr>
      </w:pPr>
      <w:r w:rsidRPr="004537A9">
        <w:rPr>
          <w:rFonts w:eastAsia="Times New Roman" w:cs="Times New Roman"/>
          <w:szCs w:val="24"/>
          <w:lang w:eastAsia="es-CO"/>
        </w:rPr>
        <w:t>Subdirección de Gestión Normativa y Doctrina</w:t>
      </w:r>
    </w:p>
    <w:p w:rsidR="004537A9" w:rsidRPr="004537A9" w:rsidRDefault="004537A9" w:rsidP="004537A9">
      <w:pPr>
        <w:spacing w:after="0" w:line="240" w:lineRule="auto"/>
        <w:jc w:val="both"/>
        <w:rPr>
          <w:rFonts w:eastAsia="Times New Roman" w:cs="Times New Roman"/>
          <w:szCs w:val="24"/>
          <w:lang w:eastAsia="es-CO"/>
        </w:rPr>
      </w:pPr>
      <w:r w:rsidRPr="004537A9">
        <w:rPr>
          <w:rFonts w:eastAsia="Times New Roman" w:cs="Times New Roman"/>
          <w:szCs w:val="24"/>
          <w:lang w:eastAsia="es-CO"/>
        </w:rPr>
        <w:t>Bogotá, D.C.</w:t>
      </w:r>
    </w:p>
    <w:p w:rsidR="004537A9" w:rsidRPr="004537A9" w:rsidRDefault="004537A9" w:rsidP="004537A9">
      <w:pPr>
        <w:spacing w:after="0" w:line="240" w:lineRule="auto"/>
        <w:jc w:val="both"/>
        <w:rPr>
          <w:rFonts w:eastAsia="Times New Roman" w:cs="Times New Roman"/>
          <w:szCs w:val="24"/>
          <w:lang w:eastAsia="es-CO"/>
        </w:rPr>
      </w:pPr>
      <w:r w:rsidRPr="004537A9">
        <w:rPr>
          <w:rFonts w:eastAsia="Times New Roman" w:cs="Times New Roman"/>
          <w:szCs w:val="24"/>
          <w:lang w:eastAsia="es-CO"/>
        </w:rPr>
        <w:t>100208221 – 001825</w:t>
      </w:r>
    </w:p>
    <w:p w:rsidR="004537A9" w:rsidRPr="004537A9" w:rsidRDefault="004537A9" w:rsidP="004537A9">
      <w:pPr>
        <w:spacing w:after="0" w:line="240" w:lineRule="auto"/>
        <w:jc w:val="both"/>
        <w:rPr>
          <w:rFonts w:eastAsia="Times New Roman" w:cs="Times New Roman"/>
          <w:szCs w:val="24"/>
          <w:lang w:eastAsia="es-CO"/>
        </w:rPr>
      </w:pPr>
      <w:r w:rsidRPr="004537A9">
        <w:rPr>
          <w:rFonts w:eastAsia="Times New Roman" w:cs="Times New Roman"/>
          <w:szCs w:val="24"/>
          <w:lang w:eastAsia="es-CO"/>
        </w:rPr>
        <w:t> </w:t>
      </w:r>
    </w:p>
    <w:p w:rsidR="004537A9" w:rsidRPr="004537A9" w:rsidRDefault="004537A9" w:rsidP="004537A9">
      <w:pPr>
        <w:spacing w:after="0" w:line="240" w:lineRule="auto"/>
        <w:jc w:val="both"/>
        <w:rPr>
          <w:rFonts w:eastAsia="Times New Roman" w:cs="Times New Roman"/>
          <w:szCs w:val="24"/>
          <w:lang w:eastAsia="es-CO"/>
        </w:rPr>
      </w:pPr>
      <w:r w:rsidRPr="004537A9">
        <w:rPr>
          <w:rFonts w:eastAsia="Times New Roman" w:cs="Times New Roman"/>
          <w:szCs w:val="24"/>
          <w:lang w:eastAsia="es-CO"/>
        </w:rPr>
        <w:t>Señora:</w:t>
      </w:r>
    </w:p>
    <w:p w:rsidR="004537A9" w:rsidRPr="004537A9" w:rsidRDefault="004537A9" w:rsidP="004537A9">
      <w:pPr>
        <w:spacing w:after="0" w:line="240" w:lineRule="auto"/>
        <w:jc w:val="both"/>
        <w:rPr>
          <w:rFonts w:eastAsia="Times New Roman" w:cs="Times New Roman"/>
          <w:szCs w:val="24"/>
          <w:lang w:eastAsia="es-CO"/>
        </w:rPr>
      </w:pPr>
      <w:r w:rsidRPr="004537A9">
        <w:rPr>
          <w:rFonts w:eastAsia="Times New Roman" w:cs="Times New Roman"/>
          <w:b/>
          <w:bCs/>
          <w:szCs w:val="24"/>
          <w:lang w:eastAsia="es-CO"/>
        </w:rPr>
        <w:t>ADRIANA MARÍN JIMENEZ</w:t>
      </w:r>
    </w:p>
    <w:p w:rsidR="004537A9" w:rsidRPr="004537A9" w:rsidRDefault="004537A9" w:rsidP="004537A9">
      <w:pPr>
        <w:spacing w:after="0" w:line="240" w:lineRule="auto"/>
        <w:jc w:val="both"/>
        <w:rPr>
          <w:rFonts w:eastAsia="Times New Roman" w:cs="Times New Roman"/>
          <w:szCs w:val="24"/>
          <w:lang w:eastAsia="es-CO"/>
        </w:rPr>
      </w:pPr>
      <w:r w:rsidRPr="004537A9">
        <w:rPr>
          <w:rFonts w:eastAsia="Times New Roman" w:cs="Times New Roman"/>
          <w:szCs w:val="24"/>
          <w:lang w:eastAsia="es-CO"/>
        </w:rPr>
        <w:t>CAR 49 B # 103 B 81</w:t>
      </w:r>
    </w:p>
    <w:p w:rsidR="004537A9" w:rsidRPr="004537A9" w:rsidRDefault="004537A9" w:rsidP="004537A9">
      <w:pPr>
        <w:spacing w:after="0" w:line="240" w:lineRule="auto"/>
        <w:jc w:val="both"/>
        <w:rPr>
          <w:rFonts w:eastAsia="Times New Roman" w:cs="Times New Roman"/>
          <w:szCs w:val="24"/>
          <w:lang w:eastAsia="es-CO"/>
        </w:rPr>
      </w:pPr>
      <w:hyperlink r:id="rId4" w:history="1">
        <w:r w:rsidRPr="004537A9">
          <w:rPr>
            <w:rFonts w:eastAsia="Times New Roman" w:cs="Times New Roman"/>
            <w:szCs w:val="24"/>
            <w:u w:val="single"/>
            <w:lang w:eastAsia="es-CO"/>
          </w:rPr>
          <w:t>info@cenergyc.com</w:t>
        </w:r>
      </w:hyperlink>
    </w:p>
    <w:p w:rsidR="004537A9" w:rsidRPr="004537A9" w:rsidRDefault="004537A9" w:rsidP="004537A9">
      <w:pPr>
        <w:spacing w:after="0" w:line="240" w:lineRule="auto"/>
        <w:jc w:val="both"/>
        <w:rPr>
          <w:rFonts w:eastAsia="Times New Roman" w:cs="Times New Roman"/>
          <w:szCs w:val="24"/>
          <w:lang w:eastAsia="es-CO"/>
        </w:rPr>
      </w:pPr>
      <w:r w:rsidRPr="004537A9">
        <w:rPr>
          <w:rFonts w:eastAsia="Times New Roman" w:cs="Times New Roman"/>
          <w:szCs w:val="24"/>
          <w:lang w:eastAsia="es-CO"/>
        </w:rPr>
        <w:t>Bogotá D.C.</w:t>
      </w:r>
    </w:p>
    <w:p w:rsidR="004537A9" w:rsidRPr="004537A9" w:rsidRDefault="004537A9" w:rsidP="004537A9">
      <w:pPr>
        <w:spacing w:after="0" w:line="240" w:lineRule="auto"/>
        <w:jc w:val="both"/>
        <w:rPr>
          <w:rFonts w:eastAsia="Times New Roman" w:cs="Times New Roman"/>
          <w:szCs w:val="24"/>
          <w:lang w:eastAsia="es-CO"/>
        </w:rPr>
      </w:pPr>
      <w:r w:rsidRPr="004537A9">
        <w:rPr>
          <w:rFonts w:eastAsia="Times New Roman" w:cs="Times New Roman"/>
          <w:szCs w:val="24"/>
          <w:lang w:eastAsia="es-CO"/>
        </w:rPr>
        <w:t> </w:t>
      </w:r>
    </w:p>
    <w:p w:rsidR="004537A9" w:rsidRPr="004537A9" w:rsidRDefault="004537A9" w:rsidP="004537A9">
      <w:pPr>
        <w:spacing w:after="0" w:line="240" w:lineRule="auto"/>
        <w:jc w:val="both"/>
        <w:rPr>
          <w:rFonts w:eastAsia="Times New Roman" w:cs="Times New Roman"/>
          <w:szCs w:val="24"/>
          <w:lang w:eastAsia="es-CO"/>
        </w:rPr>
      </w:pPr>
      <w:proofErr w:type="spellStart"/>
      <w:r w:rsidRPr="004537A9">
        <w:rPr>
          <w:rFonts w:eastAsia="Times New Roman" w:cs="Times New Roman"/>
          <w:b/>
          <w:bCs/>
          <w:szCs w:val="24"/>
          <w:lang w:eastAsia="es-CO"/>
        </w:rPr>
        <w:t>Ref</w:t>
      </w:r>
      <w:proofErr w:type="spellEnd"/>
      <w:r w:rsidRPr="004537A9">
        <w:rPr>
          <w:rFonts w:eastAsia="Times New Roman" w:cs="Times New Roman"/>
          <w:b/>
          <w:bCs/>
          <w:szCs w:val="24"/>
          <w:lang w:eastAsia="es-CO"/>
        </w:rPr>
        <w:t>: </w:t>
      </w:r>
      <w:r w:rsidRPr="004537A9">
        <w:rPr>
          <w:rFonts w:eastAsia="Times New Roman" w:cs="Times New Roman"/>
          <w:szCs w:val="24"/>
          <w:lang w:eastAsia="es-CO"/>
        </w:rPr>
        <w:t>Radicado 100053355 del 29/08/2018</w:t>
      </w:r>
    </w:p>
    <w:p w:rsidR="004537A9" w:rsidRPr="004537A9" w:rsidRDefault="004537A9" w:rsidP="004537A9">
      <w:pPr>
        <w:spacing w:after="0" w:line="240" w:lineRule="auto"/>
        <w:jc w:val="both"/>
        <w:rPr>
          <w:rFonts w:eastAsia="Times New Roman" w:cs="Times New Roman"/>
          <w:szCs w:val="24"/>
          <w:lang w:eastAsia="es-CO"/>
        </w:rPr>
      </w:pPr>
      <w:r w:rsidRPr="004537A9">
        <w:rPr>
          <w:rFonts w:eastAsia="Times New Roman" w:cs="Times New Roman"/>
          <w:szCs w:val="24"/>
          <w:lang w:eastAsia="es-CO"/>
        </w:rPr>
        <w:t> </w:t>
      </w:r>
    </w:p>
    <w:p w:rsidR="004537A9" w:rsidRPr="004537A9" w:rsidRDefault="004537A9" w:rsidP="004537A9">
      <w:pPr>
        <w:spacing w:after="0" w:line="240" w:lineRule="auto"/>
        <w:jc w:val="both"/>
        <w:rPr>
          <w:rFonts w:eastAsia="Times New Roman" w:cs="Times New Roman"/>
          <w:szCs w:val="24"/>
          <w:lang w:eastAsia="es-CO"/>
        </w:rPr>
      </w:pPr>
      <w:r w:rsidRPr="004537A9">
        <w:rPr>
          <w:rFonts w:eastAsia="Times New Roman" w:cs="Times New Roman"/>
          <w:b/>
          <w:bCs/>
          <w:szCs w:val="24"/>
          <w:lang w:eastAsia="es-CO"/>
        </w:rPr>
        <w:t>Tema </w:t>
      </w:r>
      <w:r w:rsidRPr="004537A9">
        <w:rPr>
          <w:rFonts w:eastAsia="Times New Roman" w:cs="Times New Roman"/>
          <w:szCs w:val="24"/>
          <w:lang w:eastAsia="es-CO"/>
        </w:rPr>
        <w:t>Impuesto sobre la Renta y Complementarios</w:t>
      </w:r>
    </w:p>
    <w:p w:rsidR="004537A9" w:rsidRPr="004537A9" w:rsidRDefault="004537A9" w:rsidP="004537A9">
      <w:pPr>
        <w:spacing w:after="0" w:line="240" w:lineRule="auto"/>
        <w:jc w:val="both"/>
        <w:rPr>
          <w:rFonts w:eastAsia="Times New Roman" w:cs="Times New Roman"/>
          <w:szCs w:val="24"/>
          <w:lang w:eastAsia="es-CO"/>
        </w:rPr>
      </w:pPr>
      <w:r w:rsidRPr="004537A9">
        <w:rPr>
          <w:rFonts w:eastAsia="Times New Roman" w:cs="Times New Roman"/>
          <w:b/>
          <w:bCs/>
          <w:szCs w:val="24"/>
          <w:lang w:eastAsia="es-CO"/>
        </w:rPr>
        <w:t>Descriptores </w:t>
      </w:r>
      <w:r w:rsidRPr="004537A9">
        <w:rPr>
          <w:rFonts w:eastAsia="Times New Roman" w:cs="Times New Roman"/>
          <w:szCs w:val="24"/>
          <w:lang w:eastAsia="es-CO"/>
        </w:rPr>
        <w:t>Dividendos</w:t>
      </w:r>
    </w:p>
    <w:p w:rsidR="004537A9" w:rsidRPr="004537A9" w:rsidRDefault="004537A9" w:rsidP="004537A9">
      <w:pPr>
        <w:spacing w:after="0" w:line="240" w:lineRule="auto"/>
        <w:jc w:val="both"/>
        <w:rPr>
          <w:rFonts w:eastAsia="Times New Roman" w:cs="Times New Roman"/>
          <w:szCs w:val="24"/>
          <w:lang w:eastAsia="es-CO"/>
        </w:rPr>
      </w:pPr>
      <w:r w:rsidRPr="004537A9">
        <w:rPr>
          <w:rFonts w:eastAsia="Times New Roman" w:cs="Times New Roman"/>
          <w:b/>
          <w:bCs/>
          <w:szCs w:val="24"/>
          <w:lang w:eastAsia="es-CO"/>
        </w:rPr>
        <w:t>Fuentes formales </w:t>
      </w:r>
      <w:r w:rsidRPr="004537A9">
        <w:rPr>
          <w:rFonts w:eastAsia="Times New Roman" w:cs="Times New Roman"/>
          <w:szCs w:val="24"/>
          <w:lang w:eastAsia="es-CO"/>
        </w:rPr>
        <w:t>Artículos </w:t>
      </w:r>
      <w:hyperlink r:id="rId5" w:tooltip="Estatuto Tributario CETA" w:history="1">
        <w:r w:rsidRPr="004537A9">
          <w:rPr>
            <w:rFonts w:eastAsia="Times New Roman" w:cs="Times New Roman"/>
            <w:szCs w:val="24"/>
            <w:u w:val="single"/>
            <w:lang w:eastAsia="es-CO"/>
          </w:rPr>
          <w:t>48</w:t>
        </w:r>
      </w:hyperlink>
      <w:r w:rsidRPr="004537A9">
        <w:rPr>
          <w:rFonts w:eastAsia="Times New Roman" w:cs="Times New Roman"/>
          <w:szCs w:val="24"/>
          <w:lang w:eastAsia="es-CO"/>
        </w:rPr>
        <w:t>, </w:t>
      </w:r>
      <w:hyperlink r:id="rId6" w:tooltip="Estatuto Tributario CETA" w:history="1">
        <w:r w:rsidRPr="004537A9">
          <w:rPr>
            <w:rFonts w:eastAsia="Times New Roman" w:cs="Times New Roman"/>
            <w:szCs w:val="24"/>
            <w:u w:val="single"/>
            <w:lang w:eastAsia="es-CO"/>
          </w:rPr>
          <w:t>49</w:t>
        </w:r>
      </w:hyperlink>
      <w:r w:rsidRPr="004537A9">
        <w:rPr>
          <w:rFonts w:eastAsia="Times New Roman" w:cs="Times New Roman"/>
          <w:szCs w:val="24"/>
          <w:lang w:eastAsia="es-CO"/>
        </w:rPr>
        <w:t>, </w:t>
      </w:r>
      <w:hyperlink r:id="rId7" w:tooltip="Estatuto Tributario CETA" w:history="1">
        <w:r w:rsidRPr="004537A9">
          <w:rPr>
            <w:rFonts w:eastAsia="Times New Roman" w:cs="Times New Roman"/>
            <w:szCs w:val="24"/>
            <w:u w:val="single"/>
            <w:lang w:eastAsia="es-CO"/>
          </w:rPr>
          <w:t>242</w:t>
        </w:r>
      </w:hyperlink>
      <w:r w:rsidRPr="004537A9">
        <w:rPr>
          <w:rFonts w:eastAsia="Times New Roman" w:cs="Times New Roman"/>
          <w:szCs w:val="24"/>
          <w:lang w:eastAsia="es-CO"/>
        </w:rPr>
        <w:t>, </w:t>
      </w:r>
      <w:hyperlink r:id="rId8" w:tooltip="Estatuto Tributario CETA" w:history="1">
        <w:r w:rsidRPr="004537A9">
          <w:rPr>
            <w:rFonts w:eastAsia="Times New Roman" w:cs="Times New Roman"/>
            <w:szCs w:val="24"/>
            <w:u w:val="single"/>
            <w:lang w:eastAsia="es-CO"/>
          </w:rPr>
          <w:t>342</w:t>
        </w:r>
      </w:hyperlink>
      <w:r w:rsidRPr="004537A9">
        <w:rPr>
          <w:rFonts w:eastAsia="Times New Roman" w:cs="Times New Roman"/>
          <w:szCs w:val="24"/>
          <w:lang w:eastAsia="es-CO"/>
        </w:rPr>
        <w:t> y </w:t>
      </w:r>
      <w:hyperlink r:id="rId9" w:tooltip="Estatuto Tributario CETA" w:history="1">
        <w:r w:rsidRPr="004537A9">
          <w:rPr>
            <w:rFonts w:eastAsia="Times New Roman" w:cs="Times New Roman"/>
            <w:szCs w:val="24"/>
            <w:u w:val="single"/>
            <w:lang w:eastAsia="es-CO"/>
          </w:rPr>
          <w:t>343</w:t>
        </w:r>
      </w:hyperlink>
      <w:r w:rsidRPr="004537A9">
        <w:rPr>
          <w:rFonts w:eastAsia="Times New Roman" w:cs="Times New Roman"/>
          <w:szCs w:val="24"/>
          <w:lang w:eastAsia="es-CO"/>
        </w:rPr>
        <w:t> del Estatuto Tributario.</w:t>
      </w:r>
    </w:p>
    <w:p w:rsidR="004537A9" w:rsidRPr="004537A9" w:rsidRDefault="004537A9" w:rsidP="004537A9">
      <w:pPr>
        <w:spacing w:after="0" w:line="240" w:lineRule="auto"/>
        <w:jc w:val="both"/>
        <w:rPr>
          <w:rFonts w:eastAsia="Times New Roman" w:cs="Times New Roman"/>
          <w:szCs w:val="24"/>
          <w:lang w:eastAsia="es-CO"/>
        </w:rPr>
      </w:pPr>
      <w:r w:rsidRPr="004537A9">
        <w:rPr>
          <w:rFonts w:eastAsia="Times New Roman" w:cs="Times New Roman"/>
          <w:szCs w:val="24"/>
          <w:lang w:eastAsia="es-CO"/>
        </w:rPr>
        <w:t> </w:t>
      </w:r>
    </w:p>
    <w:p w:rsidR="004537A9" w:rsidRPr="004537A9" w:rsidRDefault="004537A9" w:rsidP="004537A9">
      <w:pPr>
        <w:spacing w:after="0" w:line="240" w:lineRule="auto"/>
        <w:jc w:val="both"/>
        <w:rPr>
          <w:rFonts w:eastAsia="Times New Roman" w:cs="Times New Roman"/>
          <w:szCs w:val="24"/>
          <w:lang w:eastAsia="es-CO"/>
        </w:rPr>
      </w:pPr>
      <w:r w:rsidRPr="004537A9">
        <w:rPr>
          <w:rFonts w:eastAsia="Times New Roman" w:cs="Times New Roman"/>
          <w:szCs w:val="24"/>
          <w:lang w:eastAsia="es-CO"/>
        </w:rPr>
        <w:t> </w:t>
      </w:r>
    </w:p>
    <w:p w:rsidR="004537A9" w:rsidRPr="004537A9" w:rsidRDefault="004537A9" w:rsidP="004537A9">
      <w:pPr>
        <w:spacing w:after="0" w:line="240" w:lineRule="auto"/>
        <w:jc w:val="both"/>
        <w:rPr>
          <w:rFonts w:eastAsia="Times New Roman" w:cs="Times New Roman"/>
          <w:szCs w:val="24"/>
          <w:lang w:eastAsia="es-CO"/>
        </w:rPr>
      </w:pPr>
      <w:r w:rsidRPr="004537A9">
        <w:rPr>
          <w:rFonts w:eastAsia="Times New Roman" w:cs="Times New Roman"/>
          <w:szCs w:val="24"/>
          <w:lang w:eastAsia="es-CO"/>
        </w:rPr>
        <w:t>Cordial saludo, Sra. Adriana:</w:t>
      </w:r>
    </w:p>
    <w:p w:rsidR="004537A9" w:rsidRPr="004537A9" w:rsidRDefault="004537A9" w:rsidP="004537A9">
      <w:pPr>
        <w:spacing w:after="0" w:line="240" w:lineRule="auto"/>
        <w:jc w:val="both"/>
        <w:rPr>
          <w:rFonts w:eastAsia="Times New Roman" w:cs="Times New Roman"/>
          <w:szCs w:val="24"/>
          <w:lang w:eastAsia="es-CO"/>
        </w:rPr>
      </w:pPr>
      <w:r w:rsidRPr="004537A9">
        <w:rPr>
          <w:rFonts w:eastAsia="Times New Roman" w:cs="Times New Roman"/>
          <w:szCs w:val="24"/>
          <w:lang w:eastAsia="es-CO"/>
        </w:rPr>
        <w:t> </w:t>
      </w:r>
    </w:p>
    <w:p w:rsidR="004537A9" w:rsidRPr="004537A9" w:rsidRDefault="004537A9" w:rsidP="004537A9">
      <w:pPr>
        <w:spacing w:after="0" w:line="240" w:lineRule="auto"/>
        <w:jc w:val="both"/>
        <w:rPr>
          <w:rFonts w:eastAsia="Times New Roman" w:cs="Times New Roman"/>
          <w:szCs w:val="24"/>
          <w:lang w:eastAsia="es-CO"/>
        </w:rPr>
      </w:pPr>
      <w:r w:rsidRPr="004537A9">
        <w:rPr>
          <w:rFonts w:eastAsia="Times New Roman" w:cs="Times New Roman"/>
          <w:szCs w:val="24"/>
          <w:lang w:eastAsia="es-CO"/>
        </w:rPr>
        <w:t>De conformidad con el artículo 20 del Decreto 4048 es función de esta Subdirección absolver de modo general las consultas escritas que se formulen sobre interpretación y aplicación de las normas tributarias de carácter nacional, aduaneras y cambiarias en lo de competencia de esta entidad.</w:t>
      </w:r>
    </w:p>
    <w:p w:rsidR="004537A9" w:rsidRPr="004537A9" w:rsidRDefault="004537A9" w:rsidP="004537A9">
      <w:pPr>
        <w:spacing w:after="0" w:line="240" w:lineRule="auto"/>
        <w:jc w:val="both"/>
        <w:rPr>
          <w:rFonts w:eastAsia="Times New Roman" w:cs="Times New Roman"/>
          <w:szCs w:val="24"/>
          <w:lang w:eastAsia="es-CO"/>
        </w:rPr>
      </w:pPr>
      <w:r w:rsidRPr="004537A9">
        <w:rPr>
          <w:rFonts w:eastAsia="Times New Roman" w:cs="Times New Roman"/>
          <w:szCs w:val="24"/>
          <w:lang w:eastAsia="es-CO"/>
        </w:rPr>
        <w:t> </w:t>
      </w:r>
    </w:p>
    <w:p w:rsidR="004537A9" w:rsidRPr="004537A9" w:rsidRDefault="004537A9" w:rsidP="004537A9">
      <w:pPr>
        <w:spacing w:after="0" w:line="240" w:lineRule="auto"/>
        <w:jc w:val="both"/>
        <w:rPr>
          <w:rFonts w:eastAsia="Times New Roman" w:cs="Times New Roman"/>
          <w:szCs w:val="24"/>
          <w:lang w:eastAsia="es-CO"/>
        </w:rPr>
      </w:pPr>
      <w:r w:rsidRPr="004537A9">
        <w:rPr>
          <w:rFonts w:eastAsia="Times New Roman" w:cs="Times New Roman"/>
          <w:szCs w:val="24"/>
          <w:lang w:eastAsia="es-CO"/>
        </w:rPr>
        <w:t>Se debe explicar que las facultades de esta dependencia se concretan en la interpretación de las normas atrás mencionadas, razón por la cual no corresponde en ejercicio de dichas funciones prestar asesoría específica para atender casos particulares o dirimir controversias entre los mismos, ni juzgar, calificar, avalar o atender procesos o procedimientos que son tramitados ante otras entidades o dependencias, ni examinar las cesiones tomadas en las mismas, menos confirmar o aprobar las interpretaciones que realicen los contribuyentes sobre las disposiciones normativas dentro de actuaciones administrativas específicas.</w:t>
      </w:r>
    </w:p>
    <w:p w:rsidR="004537A9" w:rsidRPr="004537A9" w:rsidRDefault="004537A9" w:rsidP="004537A9">
      <w:pPr>
        <w:spacing w:after="0" w:line="240" w:lineRule="auto"/>
        <w:jc w:val="both"/>
        <w:rPr>
          <w:rFonts w:eastAsia="Times New Roman" w:cs="Times New Roman"/>
          <w:szCs w:val="24"/>
          <w:lang w:eastAsia="es-CO"/>
        </w:rPr>
      </w:pPr>
      <w:r w:rsidRPr="004537A9">
        <w:rPr>
          <w:rFonts w:eastAsia="Times New Roman" w:cs="Times New Roman"/>
          <w:szCs w:val="24"/>
          <w:lang w:eastAsia="es-CO"/>
        </w:rPr>
        <w:t> </w:t>
      </w:r>
    </w:p>
    <w:p w:rsidR="004537A9" w:rsidRPr="004537A9" w:rsidRDefault="004537A9" w:rsidP="004537A9">
      <w:pPr>
        <w:spacing w:after="0" w:line="240" w:lineRule="auto"/>
        <w:jc w:val="both"/>
        <w:rPr>
          <w:rFonts w:eastAsia="Times New Roman" w:cs="Times New Roman"/>
          <w:szCs w:val="24"/>
          <w:lang w:eastAsia="es-CO"/>
        </w:rPr>
      </w:pPr>
      <w:r w:rsidRPr="004537A9">
        <w:rPr>
          <w:rFonts w:eastAsia="Times New Roman" w:cs="Times New Roman"/>
          <w:szCs w:val="24"/>
          <w:lang w:eastAsia="es-CO"/>
        </w:rPr>
        <w:t>En igual sentido, los conceptos que se emiten por este despacho tienen como fundamento las circunstancias presentadas en las consultas y buscan atender los supuestos de hecho y de derecho expuestos en estas en forma general; por ello, se recomienda que la lectura del mismo se haga en forma integral para la comprensión de su alcance, el cual no debe extenderse a situaciones diferentes a las planteadas y estudiadas.</w:t>
      </w:r>
    </w:p>
    <w:p w:rsidR="004537A9" w:rsidRPr="004537A9" w:rsidRDefault="004537A9" w:rsidP="004537A9">
      <w:pPr>
        <w:spacing w:after="0" w:line="240" w:lineRule="auto"/>
        <w:jc w:val="both"/>
        <w:rPr>
          <w:rFonts w:eastAsia="Times New Roman" w:cs="Times New Roman"/>
          <w:szCs w:val="24"/>
          <w:lang w:eastAsia="es-CO"/>
        </w:rPr>
      </w:pPr>
      <w:r w:rsidRPr="004537A9">
        <w:rPr>
          <w:rFonts w:eastAsia="Times New Roman" w:cs="Times New Roman"/>
          <w:szCs w:val="24"/>
          <w:lang w:eastAsia="es-CO"/>
        </w:rPr>
        <w:t> </w:t>
      </w:r>
    </w:p>
    <w:p w:rsidR="004537A9" w:rsidRPr="004537A9" w:rsidRDefault="004537A9" w:rsidP="004537A9">
      <w:pPr>
        <w:spacing w:after="0" w:line="240" w:lineRule="auto"/>
        <w:jc w:val="both"/>
        <w:rPr>
          <w:rFonts w:eastAsia="Times New Roman" w:cs="Times New Roman"/>
          <w:szCs w:val="24"/>
          <w:lang w:eastAsia="es-CO"/>
        </w:rPr>
      </w:pPr>
      <w:r w:rsidRPr="004537A9">
        <w:rPr>
          <w:rFonts w:eastAsia="Times New Roman" w:cs="Times New Roman"/>
          <w:szCs w:val="24"/>
          <w:lang w:eastAsia="es-CO"/>
        </w:rPr>
        <w:lastRenderedPageBreak/>
        <w:t>En este contexto se atenderán la solicitud en sentido general acerca de las utilidades gravadas y no gravadas en el contexto de una sociedad “Y” que durante el año 2018 percibió dividendos no gravados de una sociedad nacional “N” correspondientes a utilidades por los años 2006 a 2009. Los dividendos fueron ingresos para dicha sociedad “Y” en el año 2018, y proyecta distribuir la utilidad en el año 2019 a accionistas personas naturales.</w:t>
      </w:r>
    </w:p>
    <w:p w:rsidR="004537A9" w:rsidRPr="004537A9" w:rsidRDefault="004537A9" w:rsidP="004537A9">
      <w:pPr>
        <w:spacing w:after="0" w:line="240" w:lineRule="auto"/>
        <w:jc w:val="both"/>
        <w:rPr>
          <w:rFonts w:eastAsia="Times New Roman" w:cs="Times New Roman"/>
          <w:szCs w:val="24"/>
          <w:lang w:eastAsia="es-CO"/>
        </w:rPr>
      </w:pPr>
      <w:r w:rsidRPr="004537A9">
        <w:rPr>
          <w:rFonts w:eastAsia="Times New Roman" w:cs="Times New Roman"/>
          <w:szCs w:val="24"/>
          <w:lang w:eastAsia="es-CO"/>
        </w:rPr>
        <w:t> </w:t>
      </w:r>
    </w:p>
    <w:p w:rsidR="004537A9" w:rsidRPr="004537A9" w:rsidRDefault="004537A9" w:rsidP="004537A9">
      <w:pPr>
        <w:spacing w:after="0" w:line="240" w:lineRule="auto"/>
        <w:jc w:val="both"/>
        <w:rPr>
          <w:rFonts w:eastAsia="Times New Roman" w:cs="Times New Roman"/>
          <w:szCs w:val="24"/>
          <w:lang w:eastAsia="es-CO"/>
        </w:rPr>
      </w:pPr>
      <w:r w:rsidRPr="004537A9">
        <w:rPr>
          <w:rFonts w:eastAsia="Times New Roman" w:cs="Times New Roman"/>
          <w:szCs w:val="24"/>
          <w:lang w:eastAsia="es-CO"/>
        </w:rPr>
        <w:t>Las preguntas en su orden son:</w:t>
      </w:r>
    </w:p>
    <w:p w:rsidR="004537A9" w:rsidRPr="004537A9" w:rsidRDefault="004537A9" w:rsidP="004537A9">
      <w:pPr>
        <w:spacing w:after="0" w:line="240" w:lineRule="auto"/>
        <w:jc w:val="both"/>
        <w:rPr>
          <w:rFonts w:eastAsia="Times New Roman" w:cs="Times New Roman"/>
          <w:szCs w:val="24"/>
          <w:lang w:eastAsia="es-CO"/>
        </w:rPr>
      </w:pPr>
      <w:r w:rsidRPr="004537A9">
        <w:rPr>
          <w:rFonts w:eastAsia="Times New Roman" w:cs="Times New Roman"/>
          <w:szCs w:val="24"/>
          <w:lang w:eastAsia="es-CO"/>
        </w:rPr>
        <w:t> </w:t>
      </w:r>
    </w:p>
    <w:p w:rsidR="004537A9" w:rsidRPr="004537A9" w:rsidRDefault="004537A9" w:rsidP="004537A9">
      <w:pPr>
        <w:spacing w:after="0" w:line="240" w:lineRule="auto"/>
        <w:jc w:val="both"/>
        <w:rPr>
          <w:rFonts w:eastAsia="Times New Roman" w:cs="Times New Roman"/>
          <w:szCs w:val="24"/>
          <w:lang w:eastAsia="es-CO"/>
        </w:rPr>
      </w:pPr>
      <w:r w:rsidRPr="004537A9">
        <w:rPr>
          <w:rFonts w:eastAsia="Times New Roman" w:cs="Times New Roman"/>
          <w:szCs w:val="24"/>
          <w:lang w:eastAsia="es-CO"/>
        </w:rPr>
        <w:t xml:space="preserve">1. Teniendo en cuenta que la utilidad que distribuye la sociedad “Y”, es producto de dividendos no gravados, correspondientes a utilidades obtenidas antes de 2016, y recibidas de sociedades nacionales donde tiene inversión, </w:t>
      </w:r>
      <w:proofErr w:type="gramStart"/>
      <w:r w:rsidRPr="004537A9">
        <w:rPr>
          <w:rFonts w:eastAsia="Times New Roman" w:cs="Times New Roman"/>
          <w:szCs w:val="24"/>
          <w:lang w:eastAsia="es-CO"/>
        </w:rPr>
        <w:t>¿Se puede aplicar lo establecido por el DUR 1625 de 2016, artículo 1.</w:t>
      </w:r>
      <w:proofErr w:type="gramEnd"/>
      <w:r w:rsidRPr="004537A9">
        <w:rPr>
          <w:rFonts w:eastAsia="Times New Roman" w:cs="Times New Roman"/>
          <w:szCs w:val="24"/>
          <w:lang w:eastAsia="es-CO"/>
        </w:rPr>
        <w:t>2.3.7.?</w:t>
      </w:r>
    </w:p>
    <w:p w:rsidR="004537A9" w:rsidRPr="004537A9" w:rsidRDefault="004537A9" w:rsidP="004537A9">
      <w:pPr>
        <w:spacing w:after="0" w:line="240" w:lineRule="auto"/>
        <w:jc w:val="both"/>
        <w:rPr>
          <w:rFonts w:eastAsia="Times New Roman" w:cs="Times New Roman"/>
          <w:szCs w:val="24"/>
          <w:lang w:eastAsia="es-CO"/>
        </w:rPr>
      </w:pPr>
      <w:r w:rsidRPr="004537A9">
        <w:rPr>
          <w:rFonts w:eastAsia="Times New Roman" w:cs="Times New Roman"/>
          <w:szCs w:val="24"/>
          <w:lang w:eastAsia="es-CO"/>
        </w:rPr>
        <w:t> </w:t>
      </w:r>
    </w:p>
    <w:p w:rsidR="004537A9" w:rsidRPr="004537A9" w:rsidRDefault="004537A9" w:rsidP="004537A9">
      <w:pPr>
        <w:spacing w:after="0" w:line="240" w:lineRule="auto"/>
        <w:jc w:val="both"/>
        <w:rPr>
          <w:rFonts w:eastAsia="Times New Roman" w:cs="Times New Roman"/>
          <w:szCs w:val="24"/>
          <w:lang w:eastAsia="es-CO"/>
        </w:rPr>
      </w:pPr>
      <w:r w:rsidRPr="004537A9">
        <w:rPr>
          <w:rFonts w:eastAsia="Times New Roman" w:cs="Times New Roman"/>
          <w:szCs w:val="24"/>
          <w:lang w:eastAsia="es-CO"/>
        </w:rPr>
        <w:t>No es aplicable el contenido del artículo 1.2.3.7. del DUR tributario, en tanto, no se dan las condiciones y requisitos exigidos en dicha reglamentación.</w:t>
      </w:r>
    </w:p>
    <w:p w:rsidR="004537A9" w:rsidRPr="004537A9" w:rsidRDefault="004537A9" w:rsidP="004537A9">
      <w:pPr>
        <w:spacing w:after="0" w:line="240" w:lineRule="auto"/>
        <w:jc w:val="both"/>
        <w:rPr>
          <w:rFonts w:eastAsia="Times New Roman" w:cs="Times New Roman"/>
          <w:szCs w:val="24"/>
          <w:lang w:eastAsia="es-CO"/>
        </w:rPr>
      </w:pPr>
      <w:r w:rsidRPr="004537A9">
        <w:rPr>
          <w:rFonts w:eastAsia="Times New Roman" w:cs="Times New Roman"/>
          <w:szCs w:val="24"/>
          <w:lang w:eastAsia="es-CO"/>
        </w:rPr>
        <w:t> </w:t>
      </w:r>
    </w:p>
    <w:p w:rsidR="004537A9" w:rsidRPr="004537A9" w:rsidRDefault="004537A9" w:rsidP="004537A9">
      <w:pPr>
        <w:spacing w:after="0" w:line="240" w:lineRule="auto"/>
        <w:jc w:val="both"/>
        <w:rPr>
          <w:rFonts w:eastAsia="Times New Roman" w:cs="Times New Roman"/>
          <w:szCs w:val="24"/>
          <w:lang w:eastAsia="es-CO"/>
        </w:rPr>
      </w:pPr>
      <w:r w:rsidRPr="004537A9">
        <w:rPr>
          <w:rFonts w:eastAsia="Times New Roman" w:cs="Times New Roman"/>
          <w:szCs w:val="24"/>
          <w:lang w:eastAsia="es-CO"/>
        </w:rPr>
        <w:t>Debe tenerse en cuenta que la utilidad que distribuya la sociedad “Y” no es producto de dividendos gravados, sino de sus ingresos totales que luego deben ser depurados de acuerdo con las reglas aplicables a los mismos.</w:t>
      </w:r>
    </w:p>
    <w:p w:rsidR="004537A9" w:rsidRPr="004537A9" w:rsidRDefault="004537A9" w:rsidP="004537A9">
      <w:pPr>
        <w:spacing w:after="0" w:line="240" w:lineRule="auto"/>
        <w:jc w:val="both"/>
        <w:rPr>
          <w:rFonts w:eastAsia="Times New Roman" w:cs="Times New Roman"/>
          <w:szCs w:val="24"/>
          <w:lang w:eastAsia="es-CO"/>
        </w:rPr>
      </w:pPr>
      <w:r w:rsidRPr="004537A9">
        <w:rPr>
          <w:rFonts w:eastAsia="Times New Roman" w:cs="Times New Roman"/>
          <w:szCs w:val="24"/>
          <w:lang w:eastAsia="es-CO"/>
        </w:rPr>
        <w:t> </w:t>
      </w:r>
    </w:p>
    <w:p w:rsidR="004537A9" w:rsidRPr="004537A9" w:rsidRDefault="004537A9" w:rsidP="004537A9">
      <w:pPr>
        <w:spacing w:after="0" w:line="240" w:lineRule="auto"/>
        <w:jc w:val="both"/>
        <w:rPr>
          <w:rFonts w:eastAsia="Times New Roman" w:cs="Times New Roman"/>
          <w:szCs w:val="24"/>
          <w:lang w:eastAsia="es-CO"/>
        </w:rPr>
      </w:pPr>
      <w:r w:rsidRPr="004537A9">
        <w:rPr>
          <w:rFonts w:eastAsia="Times New Roman" w:cs="Times New Roman"/>
          <w:szCs w:val="24"/>
          <w:lang w:eastAsia="es-CO"/>
        </w:rPr>
        <w:t>Es decir, los dividendos que recibe la sociedad “Y” se constituyen como ingresos para efecto de su objeto y actividad económica y deben ser depurados para poder determinar la renta líquida gravable en el año que corresponda.</w:t>
      </w:r>
    </w:p>
    <w:p w:rsidR="004537A9" w:rsidRPr="004537A9" w:rsidRDefault="004537A9" w:rsidP="004537A9">
      <w:pPr>
        <w:spacing w:after="0" w:line="240" w:lineRule="auto"/>
        <w:jc w:val="both"/>
        <w:rPr>
          <w:rFonts w:eastAsia="Times New Roman" w:cs="Times New Roman"/>
          <w:szCs w:val="24"/>
          <w:lang w:eastAsia="es-CO"/>
        </w:rPr>
      </w:pPr>
      <w:r w:rsidRPr="004537A9">
        <w:rPr>
          <w:rFonts w:eastAsia="Times New Roman" w:cs="Times New Roman"/>
          <w:szCs w:val="24"/>
          <w:lang w:eastAsia="es-CO"/>
        </w:rPr>
        <w:t> </w:t>
      </w:r>
    </w:p>
    <w:p w:rsidR="004537A9" w:rsidRPr="004537A9" w:rsidRDefault="004537A9" w:rsidP="004537A9">
      <w:pPr>
        <w:spacing w:after="0" w:line="240" w:lineRule="auto"/>
        <w:jc w:val="both"/>
        <w:rPr>
          <w:rFonts w:eastAsia="Times New Roman" w:cs="Times New Roman"/>
          <w:szCs w:val="24"/>
          <w:lang w:eastAsia="es-CO"/>
        </w:rPr>
      </w:pPr>
      <w:r w:rsidRPr="004537A9">
        <w:rPr>
          <w:rFonts w:eastAsia="Times New Roman" w:cs="Times New Roman"/>
          <w:szCs w:val="24"/>
          <w:lang w:eastAsia="es-CO"/>
        </w:rPr>
        <w:t xml:space="preserve">Así las cosas, si bien los ingresos por dividendos pueden tener la calidad de no gravados, otra cosa, es que corresponden con el año o vigencia fiscal en que se reciben. Por tanto, al ser recibidos como ingresos no gravados en el año 2018, la utilidad que se genere a partir de los mismos corresponde al año 2018. Sea </w:t>
      </w:r>
      <w:proofErr w:type="spellStart"/>
      <w:r w:rsidRPr="004537A9">
        <w:rPr>
          <w:rFonts w:eastAsia="Times New Roman" w:cs="Times New Roman"/>
          <w:szCs w:val="24"/>
          <w:lang w:eastAsia="es-CO"/>
        </w:rPr>
        <w:t>esta</w:t>
      </w:r>
      <w:proofErr w:type="spellEnd"/>
      <w:r w:rsidRPr="004537A9">
        <w:rPr>
          <w:rFonts w:eastAsia="Times New Roman" w:cs="Times New Roman"/>
          <w:szCs w:val="24"/>
          <w:lang w:eastAsia="es-CO"/>
        </w:rPr>
        <w:t xml:space="preserve"> gravada o no.</w:t>
      </w:r>
    </w:p>
    <w:p w:rsidR="004537A9" w:rsidRPr="004537A9" w:rsidRDefault="004537A9" w:rsidP="004537A9">
      <w:pPr>
        <w:spacing w:after="0" w:line="240" w:lineRule="auto"/>
        <w:jc w:val="both"/>
        <w:rPr>
          <w:rFonts w:eastAsia="Times New Roman" w:cs="Times New Roman"/>
          <w:szCs w:val="24"/>
          <w:lang w:eastAsia="es-CO"/>
        </w:rPr>
      </w:pPr>
      <w:r w:rsidRPr="004537A9">
        <w:rPr>
          <w:rFonts w:eastAsia="Times New Roman" w:cs="Times New Roman"/>
          <w:szCs w:val="24"/>
          <w:lang w:eastAsia="es-CO"/>
        </w:rPr>
        <w:t> </w:t>
      </w:r>
    </w:p>
    <w:p w:rsidR="004537A9" w:rsidRPr="004537A9" w:rsidRDefault="004537A9" w:rsidP="004537A9">
      <w:pPr>
        <w:spacing w:after="0" w:line="240" w:lineRule="auto"/>
        <w:jc w:val="both"/>
        <w:rPr>
          <w:rFonts w:eastAsia="Times New Roman" w:cs="Times New Roman"/>
          <w:szCs w:val="24"/>
          <w:lang w:eastAsia="es-CO"/>
        </w:rPr>
      </w:pPr>
      <w:r w:rsidRPr="004537A9">
        <w:rPr>
          <w:rFonts w:eastAsia="Times New Roman" w:cs="Times New Roman"/>
          <w:szCs w:val="24"/>
          <w:lang w:eastAsia="es-CO"/>
        </w:rPr>
        <w:t>2.- ¿Cuál debería ser la norma aplicable para determinar los dividendos no gravados que perciban los accionistas de la sociedad “Y”?</w:t>
      </w:r>
    </w:p>
    <w:p w:rsidR="004537A9" w:rsidRPr="004537A9" w:rsidRDefault="004537A9" w:rsidP="004537A9">
      <w:pPr>
        <w:spacing w:after="0" w:line="240" w:lineRule="auto"/>
        <w:jc w:val="both"/>
        <w:rPr>
          <w:rFonts w:eastAsia="Times New Roman" w:cs="Times New Roman"/>
          <w:szCs w:val="24"/>
          <w:lang w:eastAsia="es-CO"/>
        </w:rPr>
      </w:pPr>
      <w:r w:rsidRPr="004537A9">
        <w:rPr>
          <w:rFonts w:eastAsia="Times New Roman" w:cs="Times New Roman"/>
          <w:szCs w:val="24"/>
          <w:lang w:eastAsia="es-CO"/>
        </w:rPr>
        <w:t> </w:t>
      </w:r>
    </w:p>
    <w:p w:rsidR="004537A9" w:rsidRPr="004537A9" w:rsidRDefault="004537A9" w:rsidP="004537A9">
      <w:pPr>
        <w:spacing w:after="0" w:line="240" w:lineRule="auto"/>
        <w:jc w:val="both"/>
        <w:rPr>
          <w:rFonts w:eastAsia="Times New Roman" w:cs="Times New Roman"/>
          <w:szCs w:val="24"/>
          <w:lang w:eastAsia="es-CO"/>
        </w:rPr>
      </w:pPr>
      <w:r w:rsidRPr="004537A9">
        <w:rPr>
          <w:rFonts w:eastAsia="Times New Roman" w:cs="Times New Roman"/>
          <w:szCs w:val="24"/>
          <w:lang w:eastAsia="es-CO"/>
        </w:rPr>
        <w:t>Si se trata de dividendos no gravados con ocasión del ejercicio fiscal o vigencia 2018 debe aplicarse lo regulado en los artículos </w:t>
      </w:r>
      <w:hyperlink r:id="rId10" w:tooltip="Estatuto Tributario CETA" w:history="1">
        <w:r w:rsidRPr="004537A9">
          <w:rPr>
            <w:rFonts w:eastAsia="Times New Roman" w:cs="Times New Roman"/>
            <w:szCs w:val="24"/>
            <w:u w:val="single"/>
            <w:lang w:eastAsia="es-CO"/>
          </w:rPr>
          <w:t>48</w:t>
        </w:r>
      </w:hyperlink>
      <w:r w:rsidRPr="004537A9">
        <w:rPr>
          <w:rFonts w:eastAsia="Times New Roman" w:cs="Times New Roman"/>
          <w:szCs w:val="24"/>
          <w:lang w:eastAsia="es-CO"/>
        </w:rPr>
        <w:t>, </w:t>
      </w:r>
      <w:hyperlink r:id="rId11" w:tooltip="Estatuto Tributario CETA" w:history="1">
        <w:r w:rsidRPr="004537A9">
          <w:rPr>
            <w:rFonts w:eastAsia="Times New Roman" w:cs="Times New Roman"/>
            <w:szCs w:val="24"/>
            <w:u w:val="single"/>
            <w:lang w:eastAsia="es-CO"/>
          </w:rPr>
          <w:t>49</w:t>
        </w:r>
      </w:hyperlink>
      <w:r w:rsidRPr="004537A9">
        <w:rPr>
          <w:rFonts w:eastAsia="Times New Roman" w:cs="Times New Roman"/>
          <w:szCs w:val="24"/>
          <w:lang w:eastAsia="es-CO"/>
        </w:rPr>
        <w:t>, </w:t>
      </w:r>
      <w:hyperlink r:id="rId12" w:tooltip="Estatuto Tributario CETA" w:history="1">
        <w:r w:rsidRPr="004537A9">
          <w:rPr>
            <w:rFonts w:eastAsia="Times New Roman" w:cs="Times New Roman"/>
            <w:szCs w:val="24"/>
            <w:u w:val="single"/>
            <w:lang w:eastAsia="es-CO"/>
          </w:rPr>
          <w:t>242</w:t>
        </w:r>
      </w:hyperlink>
      <w:r w:rsidRPr="004537A9">
        <w:rPr>
          <w:rFonts w:eastAsia="Times New Roman" w:cs="Times New Roman"/>
          <w:szCs w:val="24"/>
          <w:lang w:eastAsia="es-CO"/>
        </w:rPr>
        <w:t> y </w:t>
      </w:r>
      <w:hyperlink r:id="rId13" w:tooltip="Estatuto Tributario CETA" w:history="1">
        <w:r w:rsidRPr="004537A9">
          <w:rPr>
            <w:rFonts w:eastAsia="Times New Roman" w:cs="Times New Roman"/>
            <w:szCs w:val="24"/>
            <w:u w:val="single"/>
            <w:lang w:eastAsia="es-CO"/>
          </w:rPr>
          <w:t>342</w:t>
        </w:r>
      </w:hyperlink>
      <w:r w:rsidRPr="004537A9">
        <w:rPr>
          <w:rFonts w:eastAsia="Times New Roman" w:cs="Times New Roman"/>
          <w:szCs w:val="24"/>
          <w:lang w:eastAsia="es-CO"/>
        </w:rPr>
        <w:t> del Estatuto Tributario vigentes en la actualidad.</w:t>
      </w:r>
    </w:p>
    <w:p w:rsidR="004537A9" w:rsidRPr="004537A9" w:rsidRDefault="004537A9" w:rsidP="004537A9">
      <w:pPr>
        <w:spacing w:after="0" w:line="240" w:lineRule="auto"/>
        <w:ind w:left="180"/>
        <w:jc w:val="both"/>
        <w:rPr>
          <w:rFonts w:eastAsia="Times New Roman" w:cs="Times New Roman"/>
          <w:szCs w:val="24"/>
          <w:lang w:eastAsia="es-CO"/>
        </w:rPr>
      </w:pPr>
      <w:r w:rsidRPr="004537A9">
        <w:rPr>
          <w:rFonts w:eastAsia="Times New Roman" w:cs="Times New Roman"/>
          <w:szCs w:val="24"/>
          <w:lang w:eastAsia="es-CO"/>
        </w:rPr>
        <w:t> </w:t>
      </w:r>
    </w:p>
    <w:p w:rsidR="004537A9" w:rsidRPr="004537A9" w:rsidRDefault="004537A9" w:rsidP="004537A9">
      <w:pPr>
        <w:spacing w:after="0" w:line="240" w:lineRule="auto"/>
        <w:ind w:left="180"/>
        <w:jc w:val="both"/>
        <w:rPr>
          <w:rFonts w:eastAsia="Times New Roman" w:cs="Times New Roman"/>
          <w:szCs w:val="24"/>
          <w:lang w:eastAsia="es-CO"/>
        </w:rPr>
      </w:pPr>
      <w:hyperlink r:id="rId14" w:tooltip="Estatuto Tributario CETA" w:history="1">
        <w:r w:rsidRPr="004537A9">
          <w:rPr>
            <w:rFonts w:eastAsia="Times New Roman" w:cs="Times New Roman"/>
            <w:b/>
            <w:bCs/>
            <w:szCs w:val="24"/>
            <w:u w:val="single"/>
            <w:lang w:eastAsia="es-CO"/>
          </w:rPr>
          <w:t>ARTÍCULO 48</w:t>
        </w:r>
      </w:hyperlink>
      <w:r w:rsidRPr="004537A9">
        <w:rPr>
          <w:rFonts w:eastAsia="Times New Roman" w:cs="Times New Roman"/>
          <w:b/>
          <w:bCs/>
          <w:szCs w:val="24"/>
          <w:lang w:eastAsia="es-CO"/>
        </w:rPr>
        <w:t>. LAS PARTICIPACIONES Y DIVIDENDOS.</w:t>
      </w:r>
      <w:r w:rsidRPr="004537A9">
        <w:rPr>
          <w:rFonts w:eastAsia="Times New Roman" w:cs="Times New Roman"/>
          <w:szCs w:val="24"/>
          <w:lang w:eastAsia="es-CO"/>
        </w:rPr>
        <w:t> &lt;Artículo modificado por el artículo 2 de la Ley 1819 de 2016. El nuevo texto es el siguiente:&gt; </w:t>
      </w:r>
      <w:r w:rsidRPr="004537A9">
        <w:rPr>
          <w:rFonts w:eastAsia="Times New Roman" w:cs="Times New Roman"/>
          <w:b/>
          <w:bCs/>
          <w:szCs w:val="24"/>
          <w:u w:val="single"/>
          <w:lang w:eastAsia="es-CO"/>
        </w:rPr>
        <w:t>Los dividendos y participaciones percibidas por los socios, accionistas, comuneros, asociados, suscriptores y similares, que sean sociedades nacionales, no constituyen renta ni ganancia ocasional</w:t>
      </w:r>
      <w:r w:rsidRPr="004537A9">
        <w:rPr>
          <w:rFonts w:eastAsia="Times New Roman" w:cs="Times New Roman"/>
          <w:b/>
          <w:bCs/>
          <w:szCs w:val="24"/>
          <w:lang w:eastAsia="es-CO"/>
        </w:rPr>
        <w:t>.</w:t>
      </w:r>
    </w:p>
    <w:p w:rsidR="004537A9" w:rsidRPr="004537A9" w:rsidRDefault="004537A9" w:rsidP="004537A9">
      <w:pPr>
        <w:spacing w:after="0" w:line="240" w:lineRule="auto"/>
        <w:ind w:left="180"/>
        <w:jc w:val="both"/>
        <w:rPr>
          <w:rFonts w:eastAsia="Times New Roman" w:cs="Times New Roman"/>
          <w:szCs w:val="24"/>
          <w:lang w:eastAsia="es-CO"/>
        </w:rPr>
      </w:pPr>
      <w:r w:rsidRPr="004537A9">
        <w:rPr>
          <w:rFonts w:eastAsia="Times New Roman" w:cs="Times New Roman"/>
          <w:b/>
          <w:bCs/>
          <w:szCs w:val="24"/>
          <w:lang w:eastAsia="es-CO"/>
        </w:rPr>
        <w:t> </w:t>
      </w:r>
    </w:p>
    <w:p w:rsidR="004537A9" w:rsidRPr="004537A9" w:rsidRDefault="004537A9" w:rsidP="004537A9">
      <w:pPr>
        <w:spacing w:after="0" w:line="240" w:lineRule="auto"/>
        <w:ind w:left="180"/>
        <w:jc w:val="both"/>
        <w:rPr>
          <w:rFonts w:eastAsia="Times New Roman" w:cs="Times New Roman"/>
          <w:szCs w:val="24"/>
          <w:lang w:eastAsia="es-CO"/>
        </w:rPr>
      </w:pPr>
      <w:r w:rsidRPr="004537A9">
        <w:rPr>
          <w:rFonts w:eastAsia="Times New Roman" w:cs="Times New Roman"/>
          <w:b/>
          <w:bCs/>
          <w:szCs w:val="24"/>
          <w:u w:val="single"/>
          <w:lang w:eastAsia="es-CO"/>
        </w:rPr>
        <w:t>Para efectos de lo dispuesto en el inciso anterior, tales dividendos y participaciones deben corresponder a utilidades que hayan sido declaradas en cabeza de la sociedad</w:t>
      </w:r>
      <w:r w:rsidRPr="004537A9">
        <w:rPr>
          <w:rFonts w:eastAsia="Times New Roman" w:cs="Times New Roman"/>
          <w:b/>
          <w:bCs/>
          <w:szCs w:val="24"/>
          <w:lang w:eastAsia="es-CO"/>
        </w:rPr>
        <w:t>. </w:t>
      </w:r>
      <w:r w:rsidRPr="004537A9">
        <w:rPr>
          <w:rFonts w:eastAsia="Times New Roman" w:cs="Times New Roman"/>
          <w:szCs w:val="24"/>
          <w:lang w:eastAsia="es-CO"/>
        </w:rPr>
        <w:t xml:space="preserve">Si las utilidades hubieren sido obtenidas con anterioridad al primero de enero de 1986, para que los dividendos y participaciones sean un ingreso no constitutivo de renta ni de ganancia ocasional, </w:t>
      </w:r>
      <w:proofErr w:type="gramStart"/>
      <w:r w:rsidRPr="004537A9">
        <w:rPr>
          <w:rFonts w:eastAsia="Times New Roman" w:cs="Times New Roman"/>
          <w:szCs w:val="24"/>
          <w:lang w:eastAsia="es-CO"/>
        </w:rPr>
        <w:t>deberán</w:t>
      </w:r>
      <w:proofErr w:type="gramEnd"/>
      <w:r w:rsidRPr="004537A9">
        <w:rPr>
          <w:rFonts w:eastAsia="Times New Roman" w:cs="Times New Roman"/>
          <w:szCs w:val="24"/>
          <w:lang w:eastAsia="es-CO"/>
        </w:rPr>
        <w:t xml:space="preserve"> además, figurar como utilidades retenidas en la declaración </w:t>
      </w:r>
      <w:r w:rsidRPr="004537A9">
        <w:rPr>
          <w:rFonts w:eastAsia="Times New Roman" w:cs="Times New Roman"/>
          <w:szCs w:val="24"/>
          <w:lang w:eastAsia="es-CO"/>
        </w:rPr>
        <w:lastRenderedPageBreak/>
        <w:t>de renta de la sociedad correspondiente al año gravable de 1985, la cual deberá haber sido presentada a más tardar el 30 de julio de 1986.</w:t>
      </w:r>
    </w:p>
    <w:p w:rsidR="004537A9" w:rsidRPr="004537A9" w:rsidRDefault="004537A9" w:rsidP="004537A9">
      <w:pPr>
        <w:spacing w:after="0" w:line="240" w:lineRule="auto"/>
        <w:ind w:left="180"/>
        <w:jc w:val="both"/>
        <w:rPr>
          <w:rFonts w:eastAsia="Times New Roman" w:cs="Times New Roman"/>
          <w:szCs w:val="24"/>
          <w:lang w:eastAsia="es-CO"/>
        </w:rPr>
      </w:pPr>
      <w:r w:rsidRPr="004537A9">
        <w:rPr>
          <w:rFonts w:eastAsia="Times New Roman" w:cs="Times New Roman"/>
          <w:szCs w:val="24"/>
          <w:lang w:eastAsia="es-CO"/>
        </w:rPr>
        <w:t> </w:t>
      </w:r>
    </w:p>
    <w:p w:rsidR="004537A9" w:rsidRPr="004537A9" w:rsidRDefault="004537A9" w:rsidP="004537A9">
      <w:pPr>
        <w:spacing w:after="0" w:line="240" w:lineRule="auto"/>
        <w:ind w:left="180"/>
        <w:jc w:val="both"/>
        <w:rPr>
          <w:rFonts w:eastAsia="Times New Roman" w:cs="Times New Roman"/>
          <w:szCs w:val="24"/>
          <w:lang w:eastAsia="es-CO"/>
        </w:rPr>
      </w:pPr>
      <w:r w:rsidRPr="004537A9">
        <w:rPr>
          <w:rFonts w:eastAsia="Times New Roman" w:cs="Times New Roman"/>
          <w:szCs w:val="24"/>
          <w:lang w:eastAsia="es-CO"/>
        </w:rPr>
        <w:t>Se asimilan a dividendos las utilidades provenientes de fondos de inversión, de fondos de valores administrados por sociedades anónimas comisionistas de bolsa, de fondos mutuos de inversión y de fondos de empleados que obtengan los afiliados, suscriptores, o asociados de los mismos.</w:t>
      </w:r>
    </w:p>
    <w:p w:rsidR="004537A9" w:rsidRPr="004537A9" w:rsidRDefault="004537A9" w:rsidP="004537A9">
      <w:pPr>
        <w:spacing w:after="0" w:line="240" w:lineRule="auto"/>
        <w:ind w:left="180"/>
        <w:jc w:val="both"/>
        <w:rPr>
          <w:rFonts w:eastAsia="Times New Roman" w:cs="Times New Roman"/>
          <w:szCs w:val="24"/>
          <w:lang w:eastAsia="es-CO"/>
        </w:rPr>
      </w:pPr>
      <w:r w:rsidRPr="004537A9">
        <w:rPr>
          <w:rFonts w:eastAsia="Times New Roman" w:cs="Times New Roman"/>
          <w:szCs w:val="24"/>
          <w:lang w:eastAsia="es-CO"/>
        </w:rPr>
        <w:t> </w:t>
      </w:r>
    </w:p>
    <w:p w:rsidR="004537A9" w:rsidRPr="004537A9" w:rsidRDefault="004537A9" w:rsidP="004537A9">
      <w:pPr>
        <w:spacing w:after="0" w:line="240" w:lineRule="auto"/>
        <w:ind w:left="180"/>
        <w:jc w:val="both"/>
        <w:rPr>
          <w:rFonts w:eastAsia="Times New Roman" w:cs="Times New Roman"/>
          <w:szCs w:val="24"/>
          <w:lang w:eastAsia="es-CO"/>
        </w:rPr>
      </w:pPr>
      <w:hyperlink r:id="rId15" w:tooltip="Estatuto Tributario CETA" w:history="1">
        <w:r w:rsidRPr="004537A9">
          <w:rPr>
            <w:rFonts w:eastAsia="Times New Roman" w:cs="Times New Roman"/>
            <w:b/>
            <w:bCs/>
            <w:szCs w:val="24"/>
            <w:u w:val="single"/>
            <w:lang w:eastAsia="es-CO"/>
          </w:rPr>
          <w:t>ARTÍCULO 49</w:t>
        </w:r>
      </w:hyperlink>
      <w:r w:rsidRPr="004537A9">
        <w:rPr>
          <w:rFonts w:eastAsia="Times New Roman" w:cs="Times New Roman"/>
          <w:b/>
          <w:bCs/>
          <w:szCs w:val="24"/>
          <w:lang w:eastAsia="es-CO"/>
        </w:rPr>
        <w:t>. DETERMINACIÓN DE LOS DIVIDENDOS Y PARTICIPACIONES NO GRAVADOS.</w:t>
      </w:r>
      <w:r w:rsidRPr="004537A9">
        <w:rPr>
          <w:rFonts w:eastAsia="Times New Roman" w:cs="Times New Roman"/>
          <w:szCs w:val="24"/>
          <w:lang w:eastAsia="es-CO"/>
        </w:rPr>
        <w:t> &lt;Artículo modificado por el artículo 92 de la Ley 1607 de 2012. El nuevo texto es el siguiente:&gt; Cuando se trate de utilidades obtenidas a partir del 1o de enero de 2013, para efectos de determinar el beneficio de que trata el artículo anterior, </w:t>
      </w:r>
      <w:r w:rsidRPr="004537A9">
        <w:rPr>
          <w:rFonts w:eastAsia="Times New Roman" w:cs="Times New Roman"/>
          <w:b/>
          <w:bCs/>
          <w:szCs w:val="24"/>
          <w:u w:val="single"/>
          <w:lang w:eastAsia="es-CO"/>
        </w:rPr>
        <w:t>la sociedad que obtiene las utilidades susceptibles de ser distribuidas a título de ingreso no constitutivo de renta ni de ganancia ocasional, utilizará el siguiente procedimiento</w:t>
      </w:r>
      <w:r w:rsidRPr="004537A9">
        <w:rPr>
          <w:rFonts w:eastAsia="Times New Roman" w:cs="Times New Roman"/>
          <w:b/>
          <w:bCs/>
          <w:szCs w:val="24"/>
          <w:lang w:eastAsia="es-CO"/>
        </w:rPr>
        <w:t>:</w:t>
      </w:r>
    </w:p>
    <w:p w:rsidR="004537A9" w:rsidRPr="004537A9" w:rsidRDefault="004537A9" w:rsidP="004537A9">
      <w:pPr>
        <w:spacing w:after="0" w:line="240" w:lineRule="auto"/>
        <w:ind w:left="180"/>
        <w:jc w:val="both"/>
        <w:rPr>
          <w:rFonts w:eastAsia="Times New Roman" w:cs="Times New Roman"/>
          <w:szCs w:val="24"/>
          <w:lang w:eastAsia="es-CO"/>
        </w:rPr>
      </w:pPr>
      <w:r w:rsidRPr="004537A9">
        <w:rPr>
          <w:rFonts w:eastAsia="Times New Roman" w:cs="Times New Roman"/>
          <w:szCs w:val="24"/>
          <w:lang w:eastAsia="es-CO"/>
        </w:rPr>
        <w:t> </w:t>
      </w:r>
    </w:p>
    <w:p w:rsidR="004537A9" w:rsidRPr="004537A9" w:rsidRDefault="004537A9" w:rsidP="004537A9">
      <w:pPr>
        <w:spacing w:after="0" w:line="240" w:lineRule="auto"/>
        <w:ind w:left="180"/>
        <w:jc w:val="both"/>
        <w:rPr>
          <w:rFonts w:eastAsia="Times New Roman" w:cs="Times New Roman"/>
          <w:szCs w:val="24"/>
          <w:lang w:eastAsia="es-CO"/>
        </w:rPr>
      </w:pPr>
      <w:r w:rsidRPr="004537A9">
        <w:rPr>
          <w:rFonts w:eastAsia="Times New Roman" w:cs="Times New Roman"/>
          <w:szCs w:val="24"/>
          <w:lang w:eastAsia="es-CO"/>
        </w:rPr>
        <w:t>1. Tomará la Renta Líquida Gravable más las Ganancias Ocasionales Gravables del respectivo año y le restará el resultado de tomar el Impuesto Básico de Renta y el Impuesto de Ganancias Ocasionales liquidado por el mismo año gravable, menos el monto de los descuentos tributarios por impuestos pagados en el exterior correspondientes a dividendos y participaciones a los que se refieren los literales a), b) y c) del inciso segundo del </w:t>
      </w:r>
      <w:hyperlink r:id="rId16" w:tooltip="Estatuto Tributario CETA" w:history="1">
        <w:r w:rsidRPr="004537A9">
          <w:rPr>
            <w:rFonts w:eastAsia="Times New Roman" w:cs="Times New Roman"/>
            <w:szCs w:val="24"/>
            <w:u w:val="single"/>
            <w:lang w:eastAsia="es-CO"/>
          </w:rPr>
          <w:t>artículo 254</w:t>
        </w:r>
      </w:hyperlink>
      <w:r w:rsidRPr="004537A9">
        <w:rPr>
          <w:rFonts w:eastAsia="Times New Roman" w:cs="Times New Roman"/>
          <w:szCs w:val="24"/>
          <w:lang w:eastAsia="es-CO"/>
        </w:rPr>
        <w:t> de este Estatuto.</w:t>
      </w:r>
    </w:p>
    <w:p w:rsidR="004537A9" w:rsidRPr="004537A9" w:rsidRDefault="004537A9" w:rsidP="004537A9">
      <w:pPr>
        <w:spacing w:after="0" w:line="240" w:lineRule="auto"/>
        <w:ind w:left="180"/>
        <w:jc w:val="both"/>
        <w:rPr>
          <w:rFonts w:eastAsia="Times New Roman" w:cs="Times New Roman"/>
          <w:szCs w:val="24"/>
          <w:lang w:eastAsia="es-CO"/>
        </w:rPr>
      </w:pPr>
      <w:r w:rsidRPr="004537A9">
        <w:rPr>
          <w:rFonts w:eastAsia="Times New Roman" w:cs="Times New Roman"/>
          <w:szCs w:val="24"/>
          <w:lang w:eastAsia="es-CO"/>
        </w:rPr>
        <w:t>2. Al resultado así obtenido se le adicionará el valor percibido durante el respectivo año gravable por concepto de:</w:t>
      </w:r>
    </w:p>
    <w:p w:rsidR="004537A9" w:rsidRPr="004537A9" w:rsidRDefault="004537A9" w:rsidP="004537A9">
      <w:pPr>
        <w:spacing w:after="0" w:line="240" w:lineRule="auto"/>
        <w:ind w:left="180"/>
        <w:jc w:val="both"/>
        <w:rPr>
          <w:rFonts w:eastAsia="Times New Roman" w:cs="Times New Roman"/>
          <w:szCs w:val="24"/>
          <w:lang w:eastAsia="es-CO"/>
        </w:rPr>
      </w:pPr>
      <w:r w:rsidRPr="004537A9">
        <w:rPr>
          <w:rFonts w:eastAsia="Times New Roman" w:cs="Times New Roman"/>
          <w:szCs w:val="24"/>
          <w:lang w:eastAsia="es-CO"/>
        </w:rPr>
        <w:t> </w:t>
      </w:r>
    </w:p>
    <w:p w:rsidR="004537A9" w:rsidRPr="004537A9" w:rsidRDefault="004537A9" w:rsidP="004537A9">
      <w:pPr>
        <w:spacing w:after="0" w:line="240" w:lineRule="auto"/>
        <w:ind w:left="180"/>
        <w:jc w:val="both"/>
        <w:rPr>
          <w:rFonts w:eastAsia="Times New Roman" w:cs="Times New Roman"/>
          <w:szCs w:val="24"/>
          <w:lang w:eastAsia="es-CO"/>
        </w:rPr>
      </w:pPr>
      <w:r w:rsidRPr="004537A9">
        <w:rPr>
          <w:rFonts w:eastAsia="Times New Roman" w:cs="Times New Roman"/>
          <w:szCs w:val="24"/>
          <w:lang w:eastAsia="es-CO"/>
        </w:rPr>
        <w:t>a) </w:t>
      </w:r>
      <w:r w:rsidRPr="004537A9">
        <w:rPr>
          <w:rFonts w:eastAsia="Times New Roman" w:cs="Times New Roman"/>
          <w:szCs w:val="24"/>
          <w:u w:val="single"/>
          <w:lang w:eastAsia="es-CO"/>
        </w:rPr>
        <w:t>Dividendos o participaciones de otras sociedades nacionales y de sociedades domiciliadas en los países miembros de la Comunidad Andina de Naciones, que tengan el carácter no gravado; y</w:t>
      </w:r>
    </w:p>
    <w:p w:rsidR="004537A9" w:rsidRPr="004537A9" w:rsidRDefault="004537A9" w:rsidP="004537A9">
      <w:pPr>
        <w:spacing w:after="0" w:line="240" w:lineRule="auto"/>
        <w:ind w:left="180"/>
        <w:jc w:val="both"/>
        <w:rPr>
          <w:rFonts w:eastAsia="Times New Roman" w:cs="Times New Roman"/>
          <w:szCs w:val="24"/>
          <w:lang w:eastAsia="es-CO"/>
        </w:rPr>
      </w:pPr>
      <w:r w:rsidRPr="004537A9">
        <w:rPr>
          <w:rFonts w:eastAsia="Times New Roman" w:cs="Times New Roman"/>
          <w:szCs w:val="24"/>
          <w:lang w:eastAsia="es-CO"/>
        </w:rPr>
        <w:t>b) Beneficios o tratamientos especiales que, por expresa disposición legal, deban comunicarse a los socios, accionistas, asociados, suscriptores, o similares.</w:t>
      </w:r>
    </w:p>
    <w:p w:rsidR="004537A9" w:rsidRPr="004537A9" w:rsidRDefault="004537A9" w:rsidP="004537A9">
      <w:pPr>
        <w:spacing w:after="0" w:line="240" w:lineRule="auto"/>
        <w:ind w:left="180"/>
        <w:jc w:val="both"/>
        <w:rPr>
          <w:rFonts w:eastAsia="Times New Roman" w:cs="Times New Roman"/>
          <w:szCs w:val="24"/>
          <w:lang w:eastAsia="es-CO"/>
        </w:rPr>
      </w:pPr>
      <w:r w:rsidRPr="004537A9">
        <w:rPr>
          <w:rFonts w:eastAsia="Times New Roman" w:cs="Times New Roman"/>
          <w:szCs w:val="24"/>
          <w:lang w:eastAsia="es-CO"/>
        </w:rPr>
        <w:t> </w:t>
      </w:r>
    </w:p>
    <w:p w:rsidR="004537A9" w:rsidRPr="004537A9" w:rsidRDefault="004537A9" w:rsidP="004537A9">
      <w:pPr>
        <w:spacing w:after="0" w:line="240" w:lineRule="auto"/>
        <w:ind w:left="180"/>
        <w:jc w:val="both"/>
        <w:rPr>
          <w:rFonts w:eastAsia="Times New Roman" w:cs="Times New Roman"/>
          <w:szCs w:val="24"/>
          <w:lang w:eastAsia="es-CO"/>
        </w:rPr>
      </w:pPr>
      <w:r w:rsidRPr="004537A9">
        <w:rPr>
          <w:rFonts w:eastAsia="Times New Roman" w:cs="Times New Roman"/>
          <w:szCs w:val="24"/>
          <w:lang w:eastAsia="es-CO"/>
        </w:rPr>
        <w:t>3. </w:t>
      </w:r>
      <w:r w:rsidRPr="004537A9">
        <w:rPr>
          <w:rFonts w:eastAsia="Times New Roman" w:cs="Times New Roman"/>
          <w:szCs w:val="24"/>
          <w:u w:val="single"/>
          <w:lang w:eastAsia="es-CO"/>
        </w:rPr>
        <w:t>El valor obtenido de acuerdo con lo dispuesto en el numeral anterior constituye la utilidad máxima susceptible de ser distribuida a título de ingreso no constitutivo de renta ni de ganancia ocasional</w:t>
      </w:r>
      <w:r w:rsidRPr="004537A9">
        <w:rPr>
          <w:rFonts w:eastAsia="Times New Roman" w:cs="Times New Roman"/>
          <w:szCs w:val="24"/>
          <w:lang w:eastAsia="es-CO"/>
        </w:rPr>
        <w:t>.</w:t>
      </w:r>
    </w:p>
    <w:p w:rsidR="004537A9" w:rsidRPr="004537A9" w:rsidRDefault="004537A9" w:rsidP="004537A9">
      <w:pPr>
        <w:spacing w:after="0" w:line="240" w:lineRule="auto"/>
        <w:ind w:left="180"/>
        <w:jc w:val="both"/>
        <w:rPr>
          <w:rFonts w:eastAsia="Times New Roman" w:cs="Times New Roman"/>
          <w:szCs w:val="24"/>
          <w:lang w:eastAsia="es-CO"/>
        </w:rPr>
      </w:pPr>
      <w:r w:rsidRPr="004537A9">
        <w:rPr>
          <w:rFonts w:eastAsia="Times New Roman" w:cs="Times New Roman"/>
          <w:szCs w:val="24"/>
          <w:lang w:eastAsia="es-CO"/>
        </w:rPr>
        <w:t>4. El valor de que trata el numeral 3 de este artículo deberá contabilizarse en forma independiente de las demás cuentas que hacen parte del patrimonio de la sociedad hasta concurrencia de la unidad comercial.</w:t>
      </w:r>
    </w:p>
    <w:p w:rsidR="004537A9" w:rsidRPr="004537A9" w:rsidRDefault="004537A9" w:rsidP="004537A9">
      <w:pPr>
        <w:spacing w:after="0" w:line="240" w:lineRule="auto"/>
        <w:ind w:left="180"/>
        <w:jc w:val="both"/>
        <w:rPr>
          <w:rFonts w:eastAsia="Times New Roman" w:cs="Times New Roman"/>
          <w:szCs w:val="24"/>
          <w:lang w:eastAsia="es-CO"/>
        </w:rPr>
      </w:pPr>
      <w:r w:rsidRPr="004537A9">
        <w:rPr>
          <w:rFonts w:eastAsia="Times New Roman" w:cs="Times New Roman"/>
          <w:szCs w:val="24"/>
          <w:lang w:eastAsia="es-CO"/>
        </w:rPr>
        <w:t>5. Si el valor al que se refiere el numeral 3 de este artículo excede el monto de las utilidades comerciales del período, el exceso se podrá imputar a las utilidades comerciales futuras que tendrían la calidad de gravadas y que sean obtenidas dentro de los cinco años siguientes a aquel en el que se produjo el exceso, o a las utilidades calificadas como gravadas que hubieren sido obtenidas durante los dos períodos anteriores a aquel en el que se produjo el exceso.</w:t>
      </w:r>
    </w:p>
    <w:p w:rsidR="004537A9" w:rsidRPr="004537A9" w:rsidRDefault="004537A9" w:rsidP="004537A9">
      <w:pPr>
        <w:spacing w:after="0" w:line="240" w:lineRule="auto"/>
        <w:ind w:left="180"/>
        <w:jc w:val="both"/>
        <w:rPr>
          <w:rFonts w:eastAsia="Times New Roman" w:cs="Times New Roman"/>
          <w:szCs w:val="24"/>
          <w:lang w:eastAsia="es-CO"/>
        </w:rPr>
      </w:pPr>
      <w:r w:rsidRPr="004537A9">
        <w:rPr>
          <w:rFonts w:eastAsia="Times New Roman" w:cs="Times New Roman"/>
          <w:szCs w:val="24"/>
          <w:lang w:eastAsia="es-CO"/>
        </w:rPr>
        <w:t>6. El exceso al que se refiere el numeral 5 de este artículo se deberá registrar y controlar en cuentas de orden.</w:t>
      </w:r>
    </w:p>
    <w:p w:rsidR="004537A9" w:rsidRPr="004537A9" w:rsidRDefault="004537A9" w:rsidP="004537A9">
      <w:pPr>
        <w:spacing w:after="0" w:line="240" w:lineRule="auto"/>
        <w:ind w:left="180"/>
        <w:jc w:val="both"/>
        <w:rPr>
          <w:rFonts w:eastAsia="Times New Roman" w:cs="Times New Roman"/>
          <w:szCs w:val="24"/>
          <w:lang w:eastAsia="es-CO"/>
        </w:rPr>
      </w:pPr>
      <w:r w:rsidRPr="004537A9">
        <w:rPr>
          <w:rFonts w:eastAsia="Times New Roman" w:cs="Times New Roman"/>
          <w:szCs w:val="24"/>
          <w:lang w:eastAsia="es-CO"/>
        </w:rPr>
        <w:lastRenderedPageBreak/>
        <w:t>7. </w:t>
      </w:r>
      <w:r w:rsidRPr="004537A9">
        <w:rPr>
          <w:rFonts w:eastAsia="Times New Roman" w:cs="Times New Roman"/>
          <w:szCs w:val="24"/>
          <w:u w:val="single"/>
          <w:lang w:eastAsia="es-CO"/>
        </w:rPr>
        <w:t>La sociedad informará a sus socios, accionistas, comuneros, asociados, suscriptores y similares, en el momento de la distribución, el valor no gravable de conformidad con los numerales anteriores</w:t>
      </w:r>
      <w:r w:rsidRPr="004537A9">
        <w:rPr>
          <w:rFonts w:eastAsia="Times New Roman" w:cs="Times New Roman"/>
          <w:szCs w:val="24"/>
          <w:lang w:eastAsia="es-CO"/>
        </w:rPr>
        <w:t>.</w:t>
      </w:r>
    </w:p>
    <w:p w:rsidR="004537A9" w:rsidRPr="004537A9" w:rsidRDefault="004537A9" w:rsidP="004537A9">
      <w:pPr>
        <w:spacing w:after="0" w:line="240" w:lineRule="auto"/>
        <w:ind w:left="180"/>
        <w:jc w:val="both"/>
        <w:rPr>
          <w:rFonts w:eastAsia="Times New Roman" w:cs="Times New Roman"/>
          <w:szCs w:val="24"/>
          <w:lang w:eastAsia="es-CO"/>
        </w:rPr>
      </w:pPr>
      <w:r w:rsidRPr="004537A9">
        <w:rPr>
          <w:rFonts w:eastAsia="Times New Roman" w:cs="Times New Roman"/>
          <w:szCs w:val="24"/>
          <w:lang w:eastAsia="es-CO"/>
        </w:rPr>
        <w:t> </w:t>
      </w:r>
    </w:p>
    <w:p w:rsidR="004537A9" w:rsidRPr="004537A9" w:rsidRDefault="004537A9" w:rsidP="004537A9">
      <w:pPr>
        <w:spacing w:after="0" w:line="240" w:lineRule="auto"/>
        <w:ind w:left="180"/>
        <w:jc w:val="both"/>
        <w:rPr>
          <w:rFonts w:eastAsia="Times New Roman" w:cs="Times New Roman"/>
          <w:szCs w:val="24"/>
          <w:lang w:eastAsia="es-CO"/>
        </w:rPr>
      </w:pPr>
      <w:r w:rsidRPr="004537A9">
        <w:rPr>
          <w:rFonts w:eastAsia="Times New Roman" w:cs="Times New Roman"/>
          <w:b/>
          <w:bCs/>
          <w:szCs w:val="24"/>
          <w:lang w:eastAsia="es-CO"/>
        </w:rPr>
        <w:t>PARÁGRAFO 1o.</w:t>
      </w:r>
      <w:r w:rsidRPr="004537A9">
        <w:rPr>
          <w:rFonts w:eastAsia="Times New Roman" w:cs="Times New Roman"/>
          <w:szCs w:val="24"/>
          <w:lang w:eastAsia="es-CO"/>
        </w:rPr>
        <w:t> Lo dispuesto en el numeral 2 y 5 de este artículo no será aplicable a los excesos de utilidades que provengan de rentas exentas u otras rentas o beneficios tributarios cuyo tratamiento especial no se pueda trasladar a los socios, accionistas, asociados, suscriptores, o similares por disposición expresa de la ley.</w:t>
      </w:r>
    </w:p>
    <w:p w:rsidR="004537A9" w:rsidRPr="004537A9" w:rsidRDefault="004537A9" w:rsidP="004537A9">
      <w:pPr>
        <w:spacing w:after="0" w:line="240" w:lineRule="auto"/>
        <w:ind w:left="180"/>
        <w:jc w:val="both"/>
        <w:rPr>
          <w:rFonts w:eastAsia="Times New Roman" w:cs="Times New Roman"/>
          <w:szCs w:val="24"/>
          <w:lang w:eastAsia="es-CO"/>
        </w:rPr>
      </w:pPr>
      <w:r w:rsidRPr="004537A9">
        <w:rPr>
          <w:rFonts w:eastAsia="Times New Roman" w:cs="Times New Roman"/>
          <w:szCs w:val="24"/>
          <w:lang w:eastAsia="es-CO"/>
        </w:rPr>
        <w:t> </w:t>
      </w:r>
    </w:p>
    <w:p w:rsidR="004537A9" w:rsidRPr="004537A9" w:rsidRDefault="004537A9" w:rsidP="004537A9">
      <w:pPr>
        <w:spacing w:after="0" w:line="240" w:lineRule="auto"/>
        <w:ind w:left="180"/>
        <w:jc w:val="both"/>
        <w:rPr>
          <w:rFonts w:eastAsia="Times New Roman" w:cs="Times New Roman"/>
          <w:szCs w:val="24"/>
          <w:lang w:eastAsia="es-CO"/>
        </w:rPr>
      </w:pPr>
      <w:r w:rsidRPr="004537A9">
        <w:rPr>
          <w:rFonts w:eastAsia="Times New Roman" w:cs="Times New Roman"/>
          <w:b/>
          <w:bCs/>
          <w:szCs w:val="24"/>
          <w:lang w:eastAsia="es-CO"/>
        </w:rPr>
        <w:t>PARÁGRAFO 2o.</w:t>
      </w:r>
      <w:r w:rsidRPr="004537A9">
        <w:rPr>
          <w:rFonts w:eastAsia="Times New Roman" w:cs="Times New Roman"/>
          <w:szCs w:val="24"/>
          <w:lang w:eastAsia="es-CO"/>
        </w:rPr>
        <w:t> Las utilidades comerciales después de impuestos, obtenidas por la sociedad en el respectivo período gravable que excedan el resultado previsto en el numeral 3 tendrán la calidad de gravadas. </w:t>
      </w:r>
      <w:r w:rsidRPr="004537A9">
        <w:rPr>
          <w:rFonts w:eastAsia="Times New Roman" w:cs="Times New Roman"/>
          <w:szCs w:val="24"/>
          <w:u w:val="single"/>
          <w:lang w:eastAsia="es-CO"/>
        </w:rPr>
        <w:t>Dichas utilidades constituirán renta gravable en cabeza de los socios, accionistas, asociados, suscriptores, o similares, en el año gravable en el cual se distribuyan, cuando el exceso al que se refiere este parágrafo no se pueda imputar en los términos del numeral 5 de este artículo. La sociedad efectuará la retención en la fuente sobre el monto del exceso calificado como gravado, en el momento del pago o abono en cuenta, de conformidad con los porcentajes que establezca el Gobierno Nacional para tal efecto</w:t>
      </w:r>
      <w:r w:rsidRPr="004537A9">
        <w:rPr>
          <w:rFonts w:eastAsia="Times New Roman" w:cs="Times New Roman"/>
          <w:szCs w:val="24"/>
          <w:lang w:eastAsia="es-CO"/>
        </w:rPr>
        <w:t>.</w:t>
      </w:r>
    </w:p>
    <w:p w:rsidR="004537A9" w:rsidRPr="004537A9" w:rsidRDefault="004537A9" w:rsidP="004537A9">
      <w:pPr>
        <w:spacing w:after="0" w:line="240" w:lineRule="auto"/>
        <w:ind w:left="180"/>
        <w:jc w:val="both"/>
        <w:rPr>
          <w:rFonts w:eastAsia="Times New Roman" w:cs="Times New Roman"/>
          <w:szCs w:val="24"/>
          <w:lang w:eastAsia="es-CO"/>
        </w:rPr>
      </w:pPr>
      <w:r w:rsidRPr="004537A9">
        <w:rPr>
          <w:rFonts w:eastAsia="Times New Roman" w:cs="Times New Roman"/>
          <w:szCs w:val="24"/>
          <w:lang w:eastAsia="es-CO"/>
        </w:rPr>
        <w:t> </w:t>
      </w:r>
    </w:p>
    <w:p w:rsidR="004537A9" w:rsidRPr="004537A9" w:rsidRDefault="004537A9" w:rsidP="004537A9">
      <w:pPr>
        <w:spacing w:after="0" w:line="240" w:lineRule="auto"/>
        <w:ind w:left="180"/>
        <w:jc w:val="both"/>
        <w:rPr>
          <w:rFonts w:eastAsia="Times New Roman" w:cs="Times New Roman"/>
          <w:szCs w:val="24"/>
          <w:lang w:eastAsia="es-CO"/>
        </w:rPr>
      </w:pPr>
      <w:r w:rsidRPr="004537A9">
        <w:rPr>
          <w:rFonts w:eastAsia="Times New Roman" w:cs="Times New Roman"/>
          <w:b/>
          <w:bCs/>
          <w:szCs w:val="24"/>
          <w:lang w:eastAsia="es-CO"/>
        </w:rPr>
        <w:t>PARÁGRAFO 3o.</w:t>
      </w:r>
      <w:r w:rsidRPr="004537A9">
        <w:rPr>
          <w:rFonts w:eastAsia="Times New Roman" w:cs="Times New Roman"/>
          <w:szCs w:val="24"/>
          <w:lang w:eastAsia="es-CO"/>
        </w:rPr>
        <w:t> &lt;Parágrafo adicionado por el artículo 3 de la Ley 1819 de 2016. El nuevo texto es el siguiente:&gt; Para efecto de lo dispuesto en los numerales 3, 4, 5 y 7 de este artículo, deberá tenerse en cuenta lo dispuesto en el Título V del Libro Primero de este Estatuto.</w:t>
      </w:r>
    </w:p>
    <w:p w:rsidR="004537A9" w:rsidRPr="004537A9" w:rsidRDefault="004537A9" w:rsidP="004537A9">
      <w:pPr>
        <w:spacing w:after="0" w:line="240" w:lineRule="auto"/>
        <w:ind w:left="180"/>
        <w:jc w:val="both"/>
        <w:rPr>
          <w:rFonts w:eastAsia="Times New Roman" w:cs="Times New Roman"/>
          <w:szCs w:val="24"/>
          <w:lang w:eastAsia="es-CO"/>
        </w:rPr>
      </w:pPr>
      <w:r w:rsidRPr="004537A9">
        <w:rPr>
          <w:rFonts w:eastAsia="Times New Roman" w:cs="Times New Roman"/>
          <w:szCs w:val="24"/>
          <w:lang w:eastAsia="es-CO"/>
        </w:rPr>
        <w:t> </w:t>
      </w:r>
    </w:p>
    <w:p w:rsidR="004537A9" w:rsidRPr="004537A9" w:rsidRDefault="004537A9" w:rsidP="004537A9">
      <w:pPr>
        <w:spacing w:after="0" w:line="240" w:lineRule="auto"/>
        <w:ind w:left="180"/>
        <w:jc w:val="both"/>
        <w:rPr>
          <w:rFonts w:eastAsia="Times New Roman" w:cs="Times New Roman"/>
          <w:szCs w:val="24"/>
          <w:lang w:eastAsia="es-CO"/>
        </w:rPr>
      </w:pPr>
      <w:hyperlink r:id="rId17" w:tooltip="Estatuto Tributario CETA" w:history="1">
        <w:r w:rsidRPr="004537A9">
          <w:rPr>
            <w:rFonts w:eastAsia="Times New Roman" w:cs="Times New Roman"/>
            <w:b/>
            <w:bCs/>
            <w:szCs w:val="24"/>
            <w:u w:val="single"/>
            <w:lang w:eastAsia="es-CO"/>
          </w:rPr>
          <w:t>ART. 242</w:t>
        </w:r>
      </w:hyperlink>
      <w:r w:rsidRPr="004537A9">
        <w:rPr>
          <w:rFonts w:eastAsia="Times New Roman" w:cs="Times New Roman"/>
          <w:b/>
          <w:bCs/>
          <w:szCs w:val="24"/>
          <w:lang w:eastAsia="es-CO"/>
        </w:rPr>
        <w:t>.- Tarifa especial para dividendos o participaciones recibidas por personas naturales residentes. </w:t>
      </w:r>
      <w:r w:rsidRPr="004537A9">
        <w:rPr>
          <w:rFonts w:eastAsia="Times New Roman" w:cs="Times New Roman"/>
          <w:szCs w:val="24"/>
          <w:lang w:eastAsia="es-CO"/>
        </w:rPr>
        <w:t>A partir del año gravable 2017, </w:t>
      </w:r>
      <w:r w:rsidRPr="004537A9">
        <w:rPr>
          <w:rFonts w:eastAsia="Times New Roman" w:cs="Times New Roman"/>
          <w:szCs w:val="24"/>
          <w:u w:val="single"/>
          <w:lang w:eastAsia="es-CO"/>
        </w:rPr>
        <w:t>los dividendos y participaciones pagados o abonados en cuenta a </w:t>
      </w:r>
      <w:r w:rsidRPr="004537A9">
        <w:rPr>
          <w:rFonts w:eastAsia="Times New Roman" w:cs="Times New Roman"/>
          <w:b/>
          <w:bCs/>
          <w:szCs w:val="24"/>
          <w:u w:val="single"/>
          <w:lang w:eastAsia="es-CO"/>
        </w:rPr>
        <w:t>personas naturales residentes </w:t>
      </w:r>
      <w:r w:rsidRPr="004537A9">
        <w:rPr>
          <w:rFonts w:eastAsia="Times New Roman" w:cs="Times New Roman"/>
          <w:szCs w:val="24"/>
          <w:u w:val="single"/>
          <w:lang w:eastAsia="es-CO"/>
        </w:rPr>
        <w:t>y sucesiones ilíquidas de causantes que al momento de su muerte eran residentes del país, provenientes de distribución de utilidades que hubieren sido consideradas como ingreso no constitutivo de renta ni ganancia ocasional, conforme a lo dispuesto </w:t>
      </w:r>
      <w:r w:rsidRPr="004537A9">
        <w:rPr>
          <w:rFonts w:eastAsia="Times New Roman" w:cs="Times New Roman"/>
          <w:b/>
          <w:bCs/>
          <w:szCs w:val="24"/>
          <w:u w:val="single"/>
          <w:lang w:eastAsia="es-CO"/>
        </w:rPr>
        <w:t>en el numeral 3º del </w:t>
      </w:r>
      <w:hyperlink r:id="rId18" w:tooltip="Estatuto Tributario CETA" w:history="1">
        <w:r w:rsidRPr="004537A9">
          <w:rPr>
            <w:rFonts w:eastAsia="Times New Roman" w:cs="Times New Roman"/>
            <w:b/>
            <w:bCs/>
            <w:szCs w:val="24"/>
            <w:u w:val="single"/>
            <w:lang w:eastAsia="es-CO"/>
          </w:rPr>
          <w:t>artículo 49</w:t>
        </w:r>
      </w:hyperlink>
      <w:r w:rsidRPr="004537A9">
        <w:rPr>
          <w:rFonts w:eastAsia="Times New Roman" w:cs="Times New Roman"/>
          <w:b/>
          <w:bCs/>
          <w:szCs w:val="24"/>
          <w:u w:val="single"/>
          <w:lang w:eastAsia="es-CO"/>
        </w:rPr>
        <w:t> de este estatuto</w:t>
      </w:r>
      <w:r w:rsidRPr="004537A9">
        <w:rPr>
          <w:rFonts w:eastAsia="Times New Roman" w:cs="Times New Roman"/>
          <w:b/>
          <w:bCs/>
          <w:szCs w:val="24"/>
          <w:lang w:eastAsia="es-CO"/>
        </w:rPr>
        <w:t>, </w:t>
      </w:r>
      <w:r w:rsidRPr="004537A9">
        <w:rPr>
          <w:rFonts w:eastAsia="Times New Roman" w:cs="Times New Roman"/>
          <w:szCs w:val="24"/>
          <w:lang w:eastAsia="es-CO"/>
        </w:rPr>
        <w:t>estarán sujetas a la siguiente tarifa del impuesto sobre la renta:</w:t>
      </w:r>
    </w:p>
    <w:p w:rsidR="004537A9" w:rsidRPr="004537A9" w:rsidRDefault="004537A9" w:rsidP="004537A9">
      <w:pPr>
        <w:spacing w:after="0" w:line="240" w:lineRule="auto"/>
        <w:ind w:left="180"/>
        <w:jc w:val="center"/>
        <w:rPr>
          <w:rFonts w:eastAsia="Times New Roman" w:cs="Times New Roman"/>
          <w:szCs w:val="24"/>
          <w:lang w:eastAsia="es-CO"/>
        </w:rPr>
      </w:pPr>
      <w:r w:rsidRPr="004537A9">
        <w:rPr>
          <w:rFonts w:eastAsia="Times New Roman" w:cs="Times New Roman"/>
          <w:szCs w:val="24"/>
          <w:lang w:eastAsia="es-CO"/>
        </w:rPr>
        <w:t> </w:t>
      </w:r>
    </w:p>
    <w:tbl>
      <w:tblPr>
        <w:tblW w:w="0" w:type="auto"/>
        <w:jc w:val="center"/>
        <w:tblCellMar>
          <w:left w:w="0" w:type="dxa"/>
          <w:right w:w="0" w:type="dxa"/>
        </w:tblCellMar>
        <w:tblLook w:val="04A0" w:firstRow="1" w:lastRow="0" w:firstColumn="1" w:lastColumn="0" w:noHBand="0" w:noVBand="1"/>
      </w:tblPr>
      <w:tblGrid>
        <w:gridCol w:w="832"/>
        <w:gridCol w:w="1280"/>
        <w:gridCol w:w="1726"/>
        <w:gridCol w:w="4980"/>
      </w:tblGrid>
      <w:tr w:rsidR="004537A9" w:rsidRPr="004537A9" w:rsidTr="004537A9">
        <w:trPr>
          <w:jc w:val="center"/>
        </w:trPr>
        <w:tc>
          <w:tcPr>
            <w:tcW w:w="0" w:type="auto"/>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537A9" w:rsidRPr="004537A9" w:rsidRDefault="004537A9" w:rsidP="004537A9">
            <w:pPr>
              <w:spacing w:after="0" w:line="240" w:lineRule="auto"/>
              <w:jc w:val="center"/>
              <w:rPr>
                <w:rFonts w:eastAsia="Times New Roman" w:cs="Times New Roman"/>
                <w:szCs w:val="24"/>
                <w:lang w:eastAsia="es-CO"/>
              </w:rPr>
            </w:pPr>
            <w:r w:rsidRPr="004537A9">
              <w:rPr>
                <w:rFonts w:eastAsia="Times New Roman" w:cs="Times New Roman"/>
                <w:b/>
                <w:bCs/>
                <w:szCs w:val="24"/>
                <w:lang w:eastAsia="es-CO"/>
              </w:rPr>
              <w:t>Rangos en UVT</w:t>
            </w:r>
          </w:p>
        </w:tc>
        <w:tc>
          <w:tcPr>
            <w:tcW w:w="0" w:type="auto"/>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37A9" w:rsidRPr="004537A9" w:rsidRDefault="004537A9" w:rsidP="004537A9">
            <w:pPr>
              <w:spacing w:after="0" w:line="240" w:lineRule="auto"/>
              <w:jc w:val="center"/>
              <w:rPr>
                <w:rFonts w:eastAsia="Times New Roman" w:cs="Times New Roman"/>
                <w:szCs w:val="24"/>
                <w:lang w:eastAsia="es-CO"/>
              </w:rPr>
            </w:pPr>
            <w:r w:rsidRPr="004537A9">
              <w:rPr>
                <w:rFonts w:eastAsia="Times New Roman" w:cs="Times New Roman"/>
                <w:b/>
                <w:bCs/>
                <w:szCs w:val="24"/>
                <w:lang w:eastAsia="es-CO"/>
              </w:rPr>
              <w:t>Tarifa marginal</w:t>
            </w:r>
          </w:p>
        </w:tc>
        <w:tc>
          <w:tcPr>
            <w:tcW w:w="0" w:type="auto"/>
            <w:vMerge w:val="restar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37A9" w:rsidRPr="004537A9" w:rsidRDefault="004537A9" w:rsidP="004537A9">
            <w:pPr>
              <w:spacing w:after="0" w:line="240" w:lineRule="auto"/>
              <w:jc w:val="center"/>
              <w:rPr>
                <w:rFonts w:eastAsia="Times New Roman" w:cs="Times New Roman"/>
                <w:szCs w:val="24"/>
                <w:lang w:eastAsia="es-CO"/>
              </w:rPr>
            </w:pPr>
            <w:r w:rsidRPr="004537A9">
              <w:rPr>
                <w:rFonts w:eastAsia="Times New Roman" w:cs="Times New Roman"/>
                <w:b/>
                <w:bCs/>
                <w:szCs w:val="24"/>
                <w:lang w:eastAsia="es-CO"/>
              </w:rPr>
              <w:t>Impuesto</w:t>
            </w:r>
          </w:p>
        </w:tc>
      </w:tr>
      <w:tr w:rsidR="004537A9" w:rsidRPr="004537A9" w:rsidTr="004537A9">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537A9" w:rsidRPr="004537A9" w:rsidRDefault="004537A9" w:rsidP="004537A9">
            <w:pPr>
              <w:spacing w:after="0" w:line="240" w:lineRule="auto"/>
              <w:jc w:val="center"/>
              <w:rPr>
                <w:rFonts w:eastAsia="Times New Roman" w:cs="Times New Roman"/>
                <w:szCs w:val="24"/>
                <w:lang w:eastAsia="es-CO"/>
              </w:rPr>
            </w:pPr>
            <w:r w:rsidRPr="004537A9">
              <w:rPr>
                <w:rFonts w:eastAsia="Times New Roman" w:cs="Times New Roman"/>
                <w:b/>
                <w:bCs/>
                <w:szCs w:val="24"/>
                <w:lang w:eastAsia="es-CO"/>
              </w:rPr>
              <w:t>Desde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37A9" w:rsidRPr="004537A9" w:rsidRDefault="004537A9" w:rsidP="004537A9">
            <w:pPr>
              <w:spacing w:after="0" w:line="240" w:lineRule="auto"/>
              <w:jc w:val="center"/>
              <w:rPr>
                <w:rFonts w:eastAsia="Times New Roman" w:cs="Times New Roman"/>
                <w:szCs w:val="24"/>
                <w:lang w:eastAsia="es-CO"/>
              </w:rPr>
            </w:pPr>
            <w:r w:rsidRPr="004537A9">
              <w:rPr>
                <w:rFonts w:eastAsia="Times New Roman" w:cs="Times New Roman"/>
                <w:b/>
                <w:bCs/>
                <w:szCs w:val="24"/>
                <w:lang w:eastAsia="es-CO"/>
              </w:rPr>
              <w:t>Hasta</w:t>
            </w:r>
          </w:p>
        </w:tc>
        <w:tc>
          <w:tcPr>
            <w:tcW w:w="0" w:type="auto"/>
            <w:vMerge/>
            <w:tcBorders>
              <w:top w:val="single" w:sz="8" w:space="0" w:color="auto"/>
              <w:left w:val="nil"/>
              <w:bottom w:val="single" w:sz="8" w:space="0" w:color="auto"/>
              <w:right w:val="single" w:sz="8" w:space="0" w:color="auto"/>
            </w:tcBorders>
            <w:vAlign w:val="center"/>
            <w:hideMark/>
          </w:tcPr>
          <w:p w:rsidR="004537A9" w:rsidRPr="004537A9" w:rsidRDefault="004537A9" w:rsidP="004537A9">
            <w:pPr>
              <w:spacing w:after="0" w:line="240" w:lineRule="auto"/>
              <w:rPr>
                <w:rFonts w:eastAsia="Times New Roman" w:cs="Times New Roman"/>
                <w:szCs w:val="24"/>
                <w:lang w:eastAsia="es-CO"/>
              </w:rPr>
            </w:pPr>
          </w:p>
        </w:tc>
        <w:tc>
          <w:tcPr>
            <w:tcW w:w="0" w:type="auto"/>
            <w:vMerge/>
            <w:tcBorders>
              <w:top w:val="single" w:sz="8" w:space="0" w:color="auto"/>
              <w:left w:val="nil"/>
              <w:bottom w:val="single" w:sz="8" w:space="0" w:color="auto"/>
              <w:right w:val="single" w:sz="8" w:space="0" w:color="auto"/>
            </w:tcBorders>
            <w:vAlign w:val="center"/>
            <w:hideMark/>
          </w:tcPr>
          <w:p w:rsidR="004537A9" w:rsidRPr="004537A9" w:rsidRDefault="004537A9" w:rsidP="004537A9">
            <w:pPr>
              <w:spacing w:after="0" w:line="240" w:lineRule="auto"/>
              <w:rPr>
                <w:rFonts w:eastAsia="Times New Roman" w:cs="Times New Roman"/>
                <w:szCs w:val="24"/>
                <w:lang w:eastAsia="es-CO"/>
              </w:rPr>
            </w:pPr>
          </w:p>
        </w:tc>
      </w:tr>
      <w:tr w:rsidR="004537A9" w:rsidRPr="004537A9" w:rsidTr="004537A9">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537A9" w:rsidRPr="004537A9" w:rsidRDefault="004537A9" w:rsidP="004537A9">
            <w:pPr>
              <w:spacing w:after="0" w:line="240" w:lineRule="auto"/>
              <w:jc w:val="center"/>
              <w:rPr>
                <w:rFonts w:eastAsia="Times New Roman" w:cs="Times New Roman"/>
                <w:szCs w:val="24"/>
                <w:lang w:eastAsia="es-CO"/>
              </w:rPr>
            </w:pPr>
            <w:r w:rsidRPr="004537A9">
              <w:rPr>
                <w:rFonts w:eastAsia="Times New Roman" w:cs="Times New Roman"/>
                <w:szCs w:val="24"/>
                <w:lang w:eastAsia="es-CO"/>
              </w:rPr>
              <w:t>&gt;0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37A9" w:rsidRPr="004537A9" w:rsidRDefault="004537A9" w:rsidP="004537A9">
            <w:pPr>
              <w:spacing w:after="0" w:line="240" w:lineRule="auto"/>
              <w:jc w:val="center"/>
              <w:rPr>
                <w:rFonts w:eastAsia="Times New Roman" w:cs="Times New Roman"/>
                <w:szCs w:val="24"/>
                <w:lang w:eastAsia="es-CO"/>
              </w:rPr>
            </w:pPr>
            <w:r w:rsidRPr="004537A9">
              <w:rPr>
                <w:rFonts w:eastAsia="Times New Roman" w:cs="Times New Roman"/>
                <w:szCs w:val="24"/>
                <w:lang w:eastAsia="es-CO"/>
              </w:rPr>
              <w:t>600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37A9" w:rsidRPr="004537A9" w:rsidRDefault="004537A9" w:rsidP="004537A9">
            <w:pPr>
              <w:spacing w:after="0" w:line="240" w:lineRule="auto"/>
              <w:jc w:val="center"/>
              <w:rPr>
                <w:rFonts w:eastAsia="Times New Roman" w:cs="Times New Roman"/>
                <w:szCs w:val="24"/>
                <w:lang w:eastAsia="es-CO"/>
              </w:rPr>
            </w:pPr>
            <w:r w:rsidRPr="004537A9">
              <w:rPr>
                <w:rFonts w:eastAsia="Times New Roman" w:cs="Times New Roman"/>
                <w:szCs w:val="24"/>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37A9" w:rsidRPr="004537A9" w:rsidRDefault="004537A9" w:rsidP="004537A9">
            <w:pPr>
              <w:spacing w:after="0" w:line="240" w:lineRule="auto"/>
              <w:jc w:val="both"/>
              <w:rPr>
                <w:rFonts w:eastAsia="Times New Roman" w:cs="Times New Roman"/>
                <w:szCs w:val="24"/>
                <w:lang w:eastAsia="es-CO"/>
              </w:rPr>
            </w:pPr>
            <w:r w:rsidRPr="004537A9">
              <w:rPr>
                <w:rFonts w:eastAsia="Times New Roman" w:cs="Times New Roman"/>
                <w:szCs w:val="24"/>
                <w:lang w:eastAsia="es-CO"/>
              </w:rPr>
              <w:t>0</w:t>
            </w:r>
          </w:p>
        </w:tc>
      </w:tr>
      <w:tr w:rsidR="004537A9" w:rsidRPr="004537A9" w:rsidTr="004537A9">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537A9" w:rsidRPr="004537A9" w:rsidRDefault="004537A9" w:rsidP="004537A9">
            <w:pPr>
              <w:spacing w:after="0" w:line="240" w:lineRule="auto"/>
              <w:jc w:val="center"/>
              <w:rPr>
                <w:rFonts w:eastAsia="Times New Roman" w:cs="Times New Roman"/>
                <w:szCs w:val="24"/>
                <w:lang w:eastAsia="es-CO"/>
              </w:rPr>
            </w:pPr>
            <w:r w:rsidRPr="004537A9">
              <w:rPr>
                <w:rFonts w:eastAsia="Times New Roman" w:cs="Times New Roman"/>
                <w:szCs w:val="24"/>
                <w:lang w:eastAsia="es-CO"/>
              </w:rPr>
              <w:t>&gt;600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37A9" w:rsidRPr="004537A9" w:rsidRDefault="004537A9" w:rsidP="004537A9">
            <w:pPr>
              <w:spacing w:after="0" w:line="240" w:lineRule="auto"/>
              <w:jc w:val="center"/>
              <w:rPr>
                <w:rFonts w:eastAsia="Times New Roman" w:cs="Times New Roman"/>
                <w:szCs w:val="24"/>
                <w:lang w:eastAsia="es-CO"/>
              </w:rPr>
            </w:pPr>
            <w:r w:rsidRPr="004537A9">
              <w:rPr>
                <w:rFonts w:eastAsia="Times New Roman" w:cs="Times New Roman"/>
                <w:szCs w:val="24"/>
                <w:lang w:eastAsia="es-CO"/>
              </w:rPr>
              <w:t>1000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37A9" w:rsidRPr="004537A9" w:rsidRDefault="004537A9" w:rsidP="004537A9">
            <w:pPr>
              <w:spacing w:after="0" w:line="240" w:lineRule="auto"/>
              <w:jc w:val="center"/>
              <w:rPr>
                <w:rFonts w:eastAsia="Times New Roman" w:cs="Times New Roman"/>
                <w:szCs w:val="24"/>
                <w:lang w:eastAsia="es-CO"/>
              </w:rPr>
            </w:pPr>
            <w:r w:rsidRPr="004537A9">
              <w:rPr>
                <w:rFonts w:eastAsia="Times New Roman" w:cs="Times New Roman"/>
                <w:szCs w:val="24"/>
                <w:lang w:eastAsia="es-CO"/>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37A9" w:rsidRPr="004537A9" w:rsidRDefault="004537A9" w:rsidP="004537A9">
            <w:pPr>
              <w:spacing w:after="0" w:line="240" w:lineRule="auto"/>
              <w:jc w:val="both"/>
              <w:rPr>
                <w:rFonts w:eastAsia="Times New Roman" w:cs="Times New Roman"/>
                <w:szCs w:val="24"/>
                <w:lang w:eastAsia="es-CO"/>
              </w:rPr>
            </w:pPr>
            <w:r w:rsidRPr="004537A9">
              <w:rPr>
                <w:rFonts w:eastAsia="Times New Roman" w:cs="Times New Roman"/>
                <w:szCs w:val="24"/>
                <w:lang w:eastAsia="es-CO"/>
              </w:rPr>
              <w:t>(Dividendos en UVT menos 600 UVT) x 5%</w:t>
            </w:r>
          </w:p>
        </w:tc>
      </w:tr>
      <w:tr w:rsidR="004537A9" w:rsidRPr="004537A9" w:rsidTr="004537A9">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4537A9" w:rsidRPr="004537A9" w:rsidRDefault="004537A9" w:rsidP="004537A9">
            <w:pPr>
              <w:spacing w:after="0" w:line="240" w:lineRule="auto"/>
              <w:jc w:val="center"/>
              <w:rPr>
                <w:rFonts w:eastAsia="Times New Roman" w:cs="Times New Roman"/>
                <w:szCs w:val="24"/>
                <w:lang w:eastAsia="es-CO"/>
              </w:rPr>
            </w:pPr>
            <w:r w:rsidRPr="004537A9">
              <w:rPr>
                <w:rFonts w:eastAsia="Times New Roman" w:cs="Times New Roman"/>
                <w:szCs w:val="24"/>
                <w:lang w:eastAsia="es-CO"/>
              </w:rPr>
              <w:t>&gt;1000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37A9" w:rsidRPr="004537A9" w:rsidRDefault="004537A9" w:rsidP="004537A9">
            <w:pPr>
              <w:spacing w:after="0" w:line="240" w:lineRule="auto"/>
              <w:jc w:val="center"/>
              <w:rPr>
                <w:rFonts w:eastAsia="Times New Roman" w:cs="Times New Roman"/>
                <w:szCs w:val="24"/>
                <w:lang w:eastAsia="es-CO"/>
              </w:rPr>
            </w:pPr>
            <w:r w:rsidRPr="004537A9">
              <w:rPr>
                <w:rFonts w:eastAsia="Times New Roman" w:cs="Times New Roman"/>
                <w:szCs w:val="24"/>
                <w:lang w:eastAsia="es-CO"/>
              </w:rPr>
              <w:t>En adelante</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37A9" w:rsidRPr="004537A9" w:rsidRDefault="004537A9" w:rsidP="004537A9">
            <w:pPr>
              <w:spacing w:after="0" w:line="240" w:lineRule="auto"/>
              <w:jc w:val="center"/>
              <w:rPr>
                <w:rFonts w:eastAsia="Times New Roman" w:cs="Times New Roman"/>
                <w:szCs w:val="24"/>
                <w:lang w:eastAsia="es-CO"/>
              </w:rPr>
            </w:pPr>
            <w:r w:rsidRPr="004537A9">
              <w:rPr>
                <w:rFonts w:eastAsia="Times New Roman" w:cs="Times New Roman"/>
                <w:szCs w:val="24"/>
                <w:lang w:eastAsia="es-CO"/>
              </w:rPr>
              <w:t>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4537A9" w:rsidRPr="004537A9" w:rsidRDefault="004537A9" w:rsidP="004537A9">
            <w:pPr>
              <w:spacing w:after="0" w:line="240" w:lineRule="auto"/>
              <w:jc w:val="both"/>
              <w:rPr>
                <w:rFonts w:eastAsia="Times New Roman" w:cs="Times New Roman"/>
                <w:szCs w:val="24"/>
                <w:lang w:eastAsia="es-CO"/>
              </w:rPr>
            </w:pPr>
            <w:r w:rsidRPr="004537A9">
              <w:rPr>
                <w:rFonts w:eastAsia="Times New Roman" w:cs="Times New Roman"/>
                <w:szCs w:val="24"/>
                <w:lang w:eastAsia="es-CO"/>
              </w:rPr>
              <w:t>(Dividendos en UVT menos 1000 UVT) x 10% + 20 UVT</w:t>
            </w:r>
          </w:p>
        </w:tc>
      </w:tr>
    </w:tbl>
    <w:p w:rsidR="004537A9" w:rsidRPr="004537A9" w:rsidRDefault="004537A9" w:rsidP="004537A9">
      <w:pPr>
        <w:spacing w:after="0" w:line="240" w:lineRule="auto"/>
        <w:ind w:left="180"/>
        <w:jc w:val="both"/>
        <w:rPr>
          <w:rFonts w:eastAsia="Times New Roman" w:cs="Times New Roman"/>
          <w:szCs w:val="24"/>
          <w:lang w:eastAsia="es-CO"/>
        </w:rPr>
      </w:pPr>
      <w:r w:rsidRPr="004537A9">
        <w:rPr>
          <w:rFonts w:eastAsia="Times New Roman" w:cs="Times New Roman"/>
          <w:szCs w:val="24"/>
          <w:lang w:eastAsia="es-CO"/>
        </w:rPr>
        <w:t> </w:t>
      </w:r>
    </w:p>
    <w:p w:rsidR="004537A9" w:rsidRPr="004537A9" w:rsidRDefault="004537A9" w:rsidP="004537A9">
      <w:pPr>
        <w:spacing w:after="0" w:line="240" w:lineRule="auto"/>
        <w:ind w:left="180"/>
        <w:jc w:val="both"/>
        <w:rPr>
          <w:rFonts w:eastAsia="Times New Roman" w:cs="Times New Roman"/>
          <w:szCs w:val="24"/>
          <w:lang w:eastAsia="es-CO"/>
        </w:rPr>
      </w:pPr>
      <w:r w:rsidRPr="004537A9">
        <w:rPr>
          <w:rFonts w:eastAsia="Times New Roman" w:cs="Times New Roman"/>
          <w:szCs w:val="24"/>
          <w:lang w:eastAsia="es-CO"/>
        </w:rPr>
        <w:t> </w:t>
      </w:r>
    </w:p>
    <w:p w:rsidR="004537A9" w:rsidRPr="004537A9" w:rsidRDefault="004537A9" w:rsidP="004537A9">
      <w:pPr>
        <w:spacing w:after="0" w:line="240" w:lineRule="auto"/>
        <w:ind w:left="180"/>
        <w:jc w:val="both"/>
        <w:rPr>
          <w:rFonts w:eastAsia="Times New Roman" w:cs="Times New Roman"/>
          <w:szCs w:val="24"/>
          <w:lang w:eastAsia="es-CO"/>
        </w:rPr>
      </w:pPr>
      <w:r w:rsidRPr="004537A9">
        <w:rPr>
          <w:rFonts w:eastAsia="Times New Roman" w:cs="Times New Roman"/>
          <w:szCs w:val="24"/>
          <w:lang w:eastAsia="es-CO"/>
        </w:rPr>
        <w:t>A partir del año gravable 2017, los dividendos y participaciones pagados o abonados en cuenta a personas naturales residentes y sucesiones ilíquidas de causantes que al momento de su muerte eran residentes del país, </w:t>
      </w:r>
      <w:r w:rsidRPr="004537A9">
        <w:rPr>
          <w:rFonts w:eastAsia="Times New Roman" w:cs="Times New Roman"/>
          <w:b/>
          <w:bCs/>
          <w:szCs w:val="24"/>
          <w:u w:val="single"/>
          <w:lang w:eastAsia="es-CO"/>
        </w:rPr>
        <w:t>provenientes de distribuciones de utilidades gravadas conforme a lo dispuesto en el parágrafo 2º del </w:t>
      </w:r>
      <w:hyperlink r:id="rId19" w:tooltip="Estatuto Tributario CETA" w:history="1">
        <w:r w:rsidRPr="004537A9">
          <w:rPr>
            <w:rFonts w:eastAsia="Times New Roman" w:cs="Times New Roman"/>
            <w:b/>
            <w:bCs/>
            <w:szCs w:val="24"/>
            <w:u w:val="single"/>
            <w:lang w:eastAsia="es-CO"/>
          </w:rPr>
          <w:t>artículo 49</w:t>
        </w:r>
      </w:hyperlink>
      <w:r w:rsidRPr="004537A9">
        <w:rPr>
          <w:rFonts w:eastAsia="Times New Roman" w:cs="Times New Roman"/>
          <w:b/>
          <w:bCs/>
          <w:szCs w:val="24"/>
          <w:lang w:eastAsia="es-CO"/>
        </w:rPr>
        <w:t>, </w:t>
      </w:r>
      <w:r w:rsidRPr="004537A9">
        <w:rPr>
          <w:rFonts w:eastAsia="Times New Roman" w:cs="Times New Roman"/>
          <w:szCs w:val="24"/>
          <w:lang w:eastAsia="es-CO"/>
        </w:rPr>
        <w:t>estarán sujetos a una </w:t>
      </w:r>
      <w:r w:rsidRPr="004537A9">
        <w:rPr>
          <w:rFonts w:eastAsia="Times New Roman" w:cs="Times New Roman"/>
          <w:b/>
          <w:bCs/>
          <w:szCs w:val="24"/>
          <w:u w:val="single"/>
          <w:lang w:eastAsia="es-CO"/>
        </w:rPr>
        <w:t>tarifa del treinta y cinco por ciento (35%)</w:t>
      </w:r>
      <w:r w:rsidRPr="004537A9">
        <w:rPr>
          <w:rFonts w:eastAsia="Times New Roman" w:cs="Times New Roman"/>
          <w:b/>
          <w:bCs/>
          <w:szCs w:val="24"/>
          <w:lang w:eastAsia="es-CO"/>
        </w:rPr>
        <w:t> </w:t>
      </w:r>
      <w:r w:rsidRPr="004537A9">
        <w:rPr>
          <w:rFonts w:eastAsia="Times New Roman" w:cs="Times New Roman"/>
          <w:szCs w:val="24"/>
          <w:lang w:eastAsia="es-CO"/>
        </w:rPr>
        <w:t xml:space="preserve">caso en el cual el impuesto señalado en el </w:t>
      </w:r>
      <w:r w:rsidRPr="004537A9">
        <w:rPr>
          <w:rFonts w:eastAsia="Times New Roman" w:cs="Times New Roman"/>
          <w:szCs w:val="24"/>
          <w:lang w:eastAsia="es-CO"/>
        </w:rPr>
        <w:lastRenderedPageBreak/>
        <w:t>inciso anterior, se aplicará una vez disminuido este impuesto. A esta misma tarifa estarán gravados los dividendos y participaciones recibidos de sociedades y entidades extranjeras.</w:t>
      </w:r>
    </w:p>
    <w:p w:rsidR="004537A9" w:rsidRPr="004537A9" w:rsidRDefault="004537A9" w:rsidP="004537A9">
      <w:pPr>
        <w:spacing w:after="0" w:line="240" w:lineRule="auto"/>
        <w:ind w:left="180"/>
        <w:jc w:val="both"/>
        <w:rPr>
          <w:rFonts w:eastAsia="Times New Roman" w:cs="Times New Roman"/>
          <w:szCs w:val="24"/>
          <w:lang w:eastAsia="es-CO"/>
        </w:rPr>
      </w:pPr>
      <w:r w:rsidRPr="004537A9">
        <w:rPr>
          <w:rFonts w:eastAsia="Times New Roman" w:cs="Times New Roman"/>
          <w:szCs w:val="24"/>
          <w:lang w:eastAsia="es-CO"/>
        </w:rPr>
        <w:t> </w:t>
      </w:r>
    </w:p>
    <w:p w:rsidR="004537A9" w:rsidRPr="004537A9" w:rsidRDefault="004537A9" w:rsidP="004537A9">
      <w:pPr>
        <w:spacing w:after="0" w:line="240" w:lineRule="auto"/>
        <w:ind w:left="180"/>
        <w:jc w:val="both"/>
        <w:rPr>
          <w:rFonts w:eastAsia="Times New Roman" w:cs="Times New Roman"/>
          <w:szCs w:val="24"/>
          <w:lang w:eastAsia="es-CO"/>
        </w:rPr>
      </w:pPr>
      <w:proofErr w:type="gramStart"/>
      <w:r w:rsidRPr="004537A9">
        <w:rPr>
          <w:rFonts w:eastAsia="Times New Roman" w:cs="Times New Roman"/>
          <w:b/>
          <w:bCs/>
          <w:szCs w:val="24"/>
          <w:lang w:eastAsia="es-CO"/>
        </w:rPr>
        <w:t>PAR.-</w:t>
      </w:r>
      <w:proofErr w:type="gramEnd"/>
      <w:r w:rsidRPr="004537A9">
        <w:rPr>
          <w:rFonts w:eastAsia="Times New Roman" w:cs="Times New Roman"/>
          <w:szCs w:val="24"/>
          <w:lang w:eastAsia="es-CO"/>
        </w:rPr>
        <w:t> El impuesto sobre la renta de que trata este artículo será retenido en la fuente sobre el valor bruto de los pagos o abonos en cuenta por concepto de dividendos o participaciones.</w:t>
      </w:r>
    </w:p>
    <w:p w:rsidR="004537A9" w:rsidRPr="004537A9" w:rsidRDefault="004537A9" w:rsidP="004537A9">
      <w:pPr>
        <w:spacing w:after="0" w:line="240" w:lineRule="auto"/>
        <w:ind w:left="180"/>
        <w:jc w:val="both"/>
        <w:rPr>
          <w:rFonts w:eastAsia="Times New Roman" w:cs="Times New Roman"/>
          <w:szCs w:val="24"/>
          <w:lang w:eastAsia="es-CO"/>
        </w:rPr>
      </w:pPr>
      <w:r w:rsidRPr="004537A9">
        <w:rPr>
          <w:rFonts w:eastAsia="Times New Roman" w:cs="Times New Roman"/>
          <w:szCs w:val="24"/>
          <w:lang w:eastAsia="es-CO"/>
        </w:rPr>
        <w:t> </w:t>
      </w:r>
    </w:p>
    <w:p w:rsidR="004537A9" w:rsidRPr="004537A9" w:rsidRDefault="004537A9" w:rsidP="004537A9">
      <w:pPr>
        <w:spacing w:after="0" w:line="240" w:lineRule="auto"/>
        <w:ind w:left="180"/>
        <w:jc w:val="both"/>
        <w:rPr>
          <w:rFonts w:eastAsia="Times New Roman" w:cs="Times New Roman"/>
          <w:szCs w:val="24"/>
          <w:lang w:eastAsia="es-CO"/>
        </w:rPr>
      </w:pPr>
      <w:r w:rsidRPr="004537A9">
        <w:rPr>
          <w:rFonts w:eastAsia="Times New Roman" w:cs="Times New Roman"/>
          <w:b/>
          <w:bCs/>
          <w:szCs w:val="24"/>
          <w:lang w:eastAsia="es-CO"/>
        </w:rPr>
        <w:t>Rentas de dividendos y participaciones</w:t>
      </w:r>
    </w:p>
    <w:p w:rsidR="004537A9" w:rsidRPr="004537A9" w:rsidRDefault="004537A9" w:rsidP="004537A9">
      <w:pPr>
        <w:spacing w:after="0" w:line="240" w:lineRule="auto"/>
        <w:ind w:left="180"/>
        <w:jc w:val="both"/>
        <w:rPr>
          <w:rFonts w:eastAsia="Times New Roman" w:cs="Times New Roman"/>
          <w:szCs w:val="24"/>
          <w:lang w:eastAsia="es-CO"/>
        </w:rPr>
      </w:pPr>
      <w:r w:rsidRPr="004537A9">
        <w:rPr>
          <w:rFonts w:eastAsia="Times New Roman" w:cs="Times New Roman"/>
          <w:b/>
          <w:bCs/>
          <w:szCs w:val="24"/>
          <w:lang w:eastAsia="es-CO"/>
        </w:rPr>
        <w:t> </w:t>
      </w:r>
    </w:p>
    <w:p w:rsidR="004537A9" w:rsidRPr="004537A9" w:rsidRDefault="004537A9" w:rsidP="004537A9">
      <w:pPr>
        <w:spacing w:after="0" w:line="240" w:lineRule="auto"/>
        <w:ind w:left="180"/>
        <w:jc w:val="both"/>
        <w:rPr>
          <w:rFonts w:eastAsia="Times New Roman" w:cs="Times New Roman"/>
          <w:szCs w:val="24"/>
          <w:lang w:eastAsia="es-CO"/>
        </w:rPr>
      </w:pPr>
      <w:hyperlink r:id="rId20" w:tooltip="Estatuto Tributario CETA" w:history="1">
        <w:r w:rsidRPr="004537A9">
          <w:rPr>
            <w:rFonts w:eastAsia="Times New Roman" w:cs="Times New Roman"/>
            <w:b/>
            <w:bCs/>
            <w:szCs w:val="24"/>
            <w:u w:val="single"/>
            <w:lang w:eastAsia="es-CO"/>
          </w:rPr>
          <w:t>ART. 342</w:t>
        </w:r>
      </w:hyperlink>
      <w:r w:rsidRPr="004537A9">
        <w:rPr>
          <w:rFonts w:eastAsia="Times New Roman" w:cs="Times New Roman"/>
          <w:b/>
          <w:bCs/>
          <w:szCs w:val="24"/>
          <w:lang w:eastAsia="es-CO"/>
        </w:rPr>
        <w:t>.- Ingresos de las rentas de dividendos y participaciones. </w:t>
      </w:r>
      <w:r w:rsidRPr="004537A9">
        <w:rPr>
          <w:rFonts w:eastAsia="Times New Roman" w:cs="Times New Roman"/>
          <w:szCs w:val="24"/>
          <w:u w:val="single"/>
          <w:lang w:eastAsia="es-CO"/>
        </w:rPr>
        <w:t>Son ingresos de esta cédula los recibidos por concepto de dividendos y participaciones</w:t>
      </w:r>
      <w:r w:rsidRPr="004537A9">
        <w:rPr>
          <w:rFonts w:eastAsia="Times New Roman" w:cs="Times New Roman"/>
          <w:szCs w:val="24"/>
          <w:lang w:eastAsia="es-CO"/>
        </w:rPr>
        <w:t>, y constituyen renta gravable en cabeza de los socios, accionistas, comuneros, asociados, suscriptores y similares, </w:t>
      </w:r>
      <w:r w:rsidRPr="004537A9">
        <w:rPr>
          <w:rFonts w:eastAsia="Times New Roman" w:cs="Times New Roman"/>
          <w:szCs w:val="24"/>
          <w:u w:val="single"/>
          <w:lang w:eastAsia="es-CO"/>
        </w:rPr>
        <w:t>que sean </w:t>
      </w:r>
      <w:r w:rsidRPr="004537A9">
        <w:rPr>
          <w:rFonts w:eastAsia="Times New Roman" w:cs="Times New Roman"/>
          <w:b/>
          <w:bCs/>
          <w:szCs w:val="24"/>
          <w:u w:val="single"/>
          <w:lang w:eastAsia="es-CO"/>
        </w:rPr>
        <w:t>personas naturales residentes</w:t>
      </w:r>
      <w:r w:rsidRPr="004537A9">
        <w:rPr>
          <w:rFonts w:eastAsia="Times New Roman" w:cs="Times New Roman"/>
          <w:b/>
          <w:bCs/>
          <w:szCs w:val="24"/>
          <w:lang w:eastAsia="es-CO"/>
        </w:rPr>
        <w:t> </w:t>
      </w:r>
      <w:r w:rsidRPr="004537A9">
        <w:rPr>
          <w:rFonts w:eastAsia="Times New Roman" w:cs="Times New Roman"/>
          <w:szCs w:val="24"/>
          <w:lang w:eastAsia="es-CO"/>
        </w:rPr>
        <w:t>y sucesiones ilíquidas de causantes que al momento de su muerte eran residentes, recibidos de distribuciones provenientes de sociedades y entidades nacionales, y de sociedades y entidades extranjeras.</w:t>
      </w:r>
    </w:p>
    <w:p w:rsidR="004537A9" w:rsidRPr="004537A9" w:rsidRDefault="004537A9" w:rsidP="004537A9">
      <w:pPr>
        <w:spacing w:after="0" w:line="240" w:lineRule="auto"/>
        <w:ind w:left="180"/>
        <w:jc w:val="both"/>
        <w:rPr>
          <w:rFonts w:eastAsia="Times New Roman" w:cs="Times New Roman"/>
          <w:szCs w:val="24"/>
          <w:lang w:eastAsia="es-CO"/>
        </w:rPr>
      </w:pPr>
      <w:r w:rsidRPr="004537A9">
        <w:rPr>
          <w:rFonts w:eastAsia="Times New Roman" w:cs="Times New Roman"/>
          <w:szCs w:val="24"/>
          <w:lang w:eastAsia="es-CO"/>
        </w:rPr>
        <w:t> </w:t>
      </w:r>
    </w:p>
    <w:p w:rsidR="004537A9" w:rsidRPr="004537A9" w:rsidRDefault="004537A9" w:rsidP="004537A9">
      <w:pPr>
        <w:spacing w:after="0" w:line="240" w:lineRule="auto"/>
        <w:ind w:left="180"/>
        <w:jc w:val="both"/>
        <w:rPr>
          <w:rFonts w:eastAsia="Times New Roman" w:cs="Times New Roman"/>
          <w:szCs w:val="24"/>
          <w:lang w:eastAsia="es-CO"/>
        </w:rPr>
      </w:pPr>
      <w:hyperlink r:id="rId21" w:tooltip="Estatuto Tributario CETA" w:history="1">
        <w:r w:rsidRPr="004537A9">
          <w:rPr>
            <w:rFonts w:eastAsia="Times New Roman" w:cs="Times New Roman"/>
            <w:b/>
            <w:bCs/>
            <w:szCs w:val="24"/>
            <w:u w:val="single"/>
            <w:lang w:eastAsia="es-CO"/>
          </w:rPr>
          <w:t>ART. 343</w:t>
        </w:r>
      </w:hyperlink>
      <w:r w:rsidRPr="004537A9">
        <w:rPr>
          <w:rFonts w:eastAsia="Times New Roman" w:cs="Times New Roman"/>
          <w:b/>
          <w:bCs/>
          <w:szCs w:val="24"/>
          <w:lang w:eastAsia="es-CO"/>
        </w:rPr>
        <w:t>.- Renta líquida. </w:t>
      </w:r>
      <w:r w:rsidRPr="004537A9">
        <w:rPr>
          <w:rFonts w:eastAsia="Times New Roman" w:cs="Times New Roman"/>
          <w:szCs w:val="24"/>
          <w:lang w:eastAsia="es-CO"/>
        </w:rPr>
        <w:t xml:space="preserve">Para efectos de determinar la renta líquida cedular se conformarán dos </w:t>
      </w:r>
      <w:proofErr w:type="spellStart"/>
      <w:r w:rsidRPr="004537A9">
        <w:rPr>
          <w:rFonts w:eastAsia="Times New Roman" w:cs="Times New Roman"/>
          <w:szCs w:val="24"/>
          <w:lang w:eastAsia="es-CO"/>
        </w:rPr>
        <w:t>subcédulas</w:t>
      </w:r>
      <w:proofErr w:type="spellEnd"/>
      <w:r w:rsidRPr="004537A9">
        <w:rPr>
          <w:rFonts w:eastAsia="Times New Roman" w:cs="Times New Roman"/>
          <w:szCs w:val="24"/>
          <w:lang w:eastAsia="es-CO"/>
        </w:rPr>
        <w:t>, así:</w:t>
      </w:r>
    </w:p>
    <w:p w:rsidR="004537A9" w:rsidRPr="004537A9" w:rsidRDefault="004537A9" w:rsidP="004537A9">
      <w:pPr>
        <w:spacing w:after="0" w:line="240" w:lineRule="auto"/>
        <w:ind w:left="180"/>
        <w:jc w:val="both"/>
        <w:rPr>
          <w:rFonts w:eastAsia="Times New Roman" w:cs="Times New Roman"/>
          <w:szCs w:val="24"/>
          <w:lang w:eastAsia="es-CO"/>
        </w:rPr>
      </w:pPr>
      <w:r w:rsidRPr="004537A9">
        <w:rPr>
          <w:rFonts w:eastAsia="Times New Roman" w:cs="Times New Roman"/>
          <w:szCs w:val="24"/>
          <w:lang w:eastAsia="es-CO"/>
        </w:rPr>
        <w:t> </w:t>
      </w:r>
    </w:p>
    <w:p w:rsidR="004537A9" w:rsidRPr="004537A9" w:rsidRDefault="004537A9" w:rsidP="004537A9">
      <w:pPr>
        <w:spacing w:after="0" w:line="240" w:lineRule="auto"/>
        <w:ind w:left="180"/>
        <w:jc w:val="both"/>
        <w:rPr>
          <w:rFonts w:eastAsia="Times New Roman" w:cs="Times New Roman"/>
          <w:szCs w:val="24"/>
          <w:lang w:eastAsia="es-CO"/>
        </w:rPr>
      </w:pPr>
      <w:r w:rsidRPr="004537A9">
        <w:rPr>
          <w:rFonts w:eastAsia="Times New Roman" w:cs="Times New Roman"/>
          <w:szCs w:val="24"/>
          <w:lang w:eastAsia="es-CO"/>
        </w:rPr>
        <w:t xml:space="preserve">1. Una primera </w:t>
      </w:r>
      <w:proofErr w:type="spellStart"/>
      <w:r w:rsidRPr="004537A9">
        <w:rPr>
          <w:rFonts w:eastAsia="Times New Roman" w:cs="Times New Roman"/>
          <w:szCs w:val="24"/>
          <w:lang w:eastAsia="es-CO"/>
        </w:rPr>
        <w:t>subcédula</w:t>
      </w:r>
      <w:proofErr w:type="spellEnd"/>
      <w:r w:rsidRPr="004537A9">
        <w:rPr>
          <w:rFonts w:eastAsia="Times New Roman" w:cs="Times New Roman"/>
          <w:szCs w:val="24"/>
          <w:lang w:eastAsia="es-CO"/>
        </w:rPr>
        <w:t> </w:t>
      </w:r>
      <w:r w:rsidRPr="004537A9">
        <w:rPr>
          <w:rFonts w:eastAsia="Times New Roman" w:cs="Times New Roman"/>
          <w:szCs w:val="24"/>
          <w:u w:val="single"/>
          <w:lang w:eastAsia="es-CO"/>
        </w:rPr>
        <w:t>con los dividendos y participaciones que hayan sido distribuidos según el cálculo establecido en </w:t>
      </w:r>
      <w:r w:rsidRPr="004537A9">
        <w:rPr>
          <w:rFonts w:eastAsia="Times New Roman" w:cs="Times New Roman"/>
          <w:b/>
          <w:bCs/>
          <w:szCs w:val="24"/>
          <w:u w:val="single"/>
          <w:lang w:eastAsia="es-CO"/>
        </w:rPr>
        <w:t>el numeral 3º del </w:t>
      </w:r>
      <w:hyperlink r:id="rId22" w:tooltip="Estatuto Tributario CETA" w:history="1">
        <w:r w:rsidRPr="004537A9">
          <w:rPr>
            <w:rFonts w:eastAsia="Times New Roman" w:cs="Times New Roman"/>
            <w:b/>
            <w:bCs/>
            <w:szCs w:val="24"/>
            <w:u w:val="single"/>
            <w:lang w:eastAsia="es-CO"/>
          </w:rPr>
          <w:t>artículo 49</w:t>
        </w:r>
      </w:hyperlink>
      <w:r w:rsidRPr="004537A9">
        <w:rPr>
          <w:rFonts w:eastAsia="Times New Roman" w:cs="Times New Roman"/>
          <w:b/>
          <w:bCs/>
          <w:szCs w:val="24"/>
          <w:u w:val="single"/>
          <w:lang w:eastAsia="es-CO"/>
        </w:rPr>
        <w:t> del estatuto tributario</w:t>
      </w:r>
      <w:r w:rsidRPr="004537A9">
        <w:rPr>
          <w:rFonts w:eastAsia="Times New Roman" w:cs="Times New Roman"/>
          <w:b/>
          <w:bCs/>
          <w:szCs w:val="24"/>
          <w:lang w:eastAsia="es-CO"/>
        </w:rPr>
        <w:t>. </w:t>
      </w:r>
      <w:r w:rsidRPr="004537A9">
        <w:rPr>
          <w:rFonts w:eastAsia="Times New Roman" w:cs="Times New Roman"/>
          <w:szCs w:val="24"/>
          <w:lang w:eastAsia="es-CO"/>
        </w:rPr>
        <w:t xml:space="preserve">La renta líquida obtenida en esta </w:t>
      </w:r>
      <w:proofErr w:type="spellStart"/>
      <w:r w:rsidRPr="004537A9">
        <w:rPr>
          <w:rFonts w:eastAsia="Times New Roman" w:cs="Times New Roman"/>
          <w:szCs w:val="24"/>
          <w:lang w:eastAsia="es-CO"/>
        </w:rPr>
        <w:t>subcédula</w:t>
      </w:r>
      <w:proofErr w:type="spellEnd"/>
      <w:r w:rsidRPr="004537A9">
        <w:rPr>
          <w:rFonts w:eastAsia="Times New Roman" w:cs="Times New Roman"/>
          <w:szCs w:val="24"/>
          <w:lang w:eastAsia="es-CO"/>
        </w:rPr>
        <w:t> </w:t>
      </w:r>
      <w:r w:rsidRPr="004537A9">
        <w:rPr>
          <w:rFonts w:eastAsia="Times New Roman" w:cs="Times New Roman"/>
          <w:szCs w:val="24"/>
          <w:u w:val="single"/>
          <w:lang w:eastAsia="es-CO"/>
        </w:rPr>
        <w:t>estará gravada a la tarifa establecida en el inciso 1º del </w:t>
      </w:r>
      <w:hyperlink r:id="rId23" w:tooltip="Estatuto Tributario CETA" w:history="1">
        <w:r w:rsidRPr="004537A9">
          <w:rPr>
            <w:rFonts w:eastAsia="Times New Roman" w:cs="Times New Roman"/>
            <w:szCs w:val="24"/>
            <w:u w:val="single"/>
            <w:lang w:eastAsia="es-CO"/>
          </w:rPr>
          <w:t>artículo 242</w:t>
        </w:r>
      </w:hyperlink>
      <w:r w:rsidRPr="004537A9">
        <w:rPr>
          <w:rFonts w:eastAsia="Times New Roman" w:cs="Times New Roman"/>
          <w:szCs w:val="24"/>
          <w:u w:val="single"/>
          <w:lang w:eastAsia="es-CO"/>
        </w:rPr>
        <w:t> del estatuto tributario</w:t>
      </w:r>
      <w:r w:rsidRPr="004537A9">
        <w:rPr>
          <w:rFonts w:eastAsia="Times New Roman" w:cs="Times New Roman"/>
          <w:szCs w:val="24"/>
          <w:lang w:eastAsia="es-CO"/>
        </w:rPr>
        <w:t>.</w:t>
      </w:r>
    </w:p>
    <w:p w:rsidR="004537A9" w:rsidRPr="004537A9" w:rsidRDefault="004537A9" w:rsidP="004537A9">
      <w:pPr>
        <w:spacing w:after="0" w:line="240" w:lineRule="auto"/>
        <w:ind w:left="180"/>
        <w:jc w:val="both"/>
        <w:rPr>
          <w:rFonts w:eastAsia="Times New Roman" w:cs="Times New Roman"/>
          <w:szCs w:val="24"/>
          <w:lang w:eastAsia="es-CO"/>
        </w:rPr>
      </w:pPr>
      <w:r w:rsidRPr="004537A9">
        <w:rPr>
          <w:rFonts w:eastAsia="Times New Roman" w:cs="Times New Roman"/>
          <w:szCs w:val="24"/>
          <w:lang w:eastAsia="es-CO"/>
        </w:rPr>
        <w:t xml:space="preserve">2. Una segunda </w:t>
      </w:r>
      <w:proofErr w:type="spellStart"/>
      <w:r w:rsidRPr="004537A9">
        <w:rPr>
          <w:rFonts w:eastAsia="Times New Roman" w:cs="Times New Roman"/>
          <w:szCs w:val="24"/>
          <w:lang w:eastAsia="es-CO"/>
        </w:rPr>
        <w:t>subcédula</w:t>
      </w:r>
      <w:proofErr w:type="spellEnd"/>
      <w:r w:rsidRPr="004537A9">
        <w:rPr>
          <w:rFonts w:eastAsia="Times New Roman" w:cs="Times New Roman"/>
          <w:szCs w:val="24"/>
          <w:lang w:eastAsia="es-CO"/>
        </w:rPr>
        <w:t xml:space="preserve"> con los dividendos y participaciones provenientes de utilidades </w:t>
      </w:r>
      <w:r w:rsidRPr="004537A9">
        <w:rPr>
          <w:rFonts w:eastAsia="Times New Roman" w:cs="Times New Roman"/>
          <w:szCs w:val="24"/>
          <w:u w:val="single"/>
          <w:lang w:eastAsia="es-CO"/>
        </w:rPr>
        <w:t>calculadas de conformidad con lo dispuesto en el </w:t>
      </w:r>
      <w:r w:rsidRPr="004537A9">
        <w:rPr>
          <w:rFonts w:eastAsia="Times New Roman" w:cs="Times New Roman"/>
          <w:b/>
          <w:bCs/>
          <w:szCs w:val="24"/>
          <w:u w:val="single"/>
          <w:lang w:eastAsia="es-CO"/>
        </w:rPr>
        <w:t>parágrafo 2º del </w:t>
      </w:r>
      <w:hyperlink r:id="rId24" w:tooltip="Estatuto Tributario CETA" w:history="1">
        <w:r w:rsidRPr="004537A9">
          <w:rPr>
            <w:rFonts w:eastAsia="Times New Roman" w:cs="Times New Roman"/>
            <w:b/>
            <w:bCs/>
            <w:szCs w:val="24"/>
            <w:u w:val="single"/>
            <w:lang w:eastAsia="es-CO"/>
          </w:rPr>
          <w:t>artículo 49</w:t>
        </w:r>
      </w:hyperlink>
      <w:r w:rsidRPr="004537A9">
        <w:rPr>
          <w:rFonts w:eastAsia="Times New Roman" w:cs="Times New Roman"/>
          <w:b/>
          <w:bCs/>
          <w:szCs w:val="24"/>
          <w:u w:val="single"/>
          <w:lang w:eastAsia="es-CO"/>
        </w:rPr>
        <w:t> del estatuto tributario</w:t>
      </w:r>
      <w:r w:rsidRPr="004537A9">
        <w:rPr>
          <w:rFonts w:eastAsia="Times New Roman" w:cs="Times New Roman"/>
          <w:b/>
          <w:bCs/>
          <w:szCs w:val="24"/>
          <w:lang w:eastAsia="es-CO"/>
        </w:rPr>
        <w:t>, </w:t>
      </w:r>
      <w:r w:rsidRPr="004537A9">
        <w:rPr>
          <w:rFonts w:eastAsia="Times New Roman" w:cs="Times New Roman"/>
          <w:szCs w:val="24"/>
          <w:lang w:eastAsia="es-CO"/>
        </w:rPr>
        <w:t xml:space="preserve">y con los dividendos y participaciones provenientes de sociedades y entidades extranjeras. La renta líquida obtenida en esta </w:t>
      </w:r>
      <w:proofErr w:type="spellStart"/>
      <w:r w:rsidRPr="004537A9">
        <w:rPr>
          <w:rFonts w:eastAsia="Times New Roman" w:cs="Times New Roman"/>
          <w:szCs w:val="24"/>
          <w:lang w:eastAsia="es-CO"/>
        </w:rPr>
        <w:t>subcédula</w:t>
      </w:r>
      <w:proofErr w:type="spellEnd"/>
      <w:r w:rsidRPr="004537A9">
        <w:rPr>
          <w:rFonts w:eastAsia="Times New Roman" w:cs="Times New Roman"/>
          <w:szCs w:val="24"/>
          <w:lang w:eastAsia="es-CO"/>
        </w:rPr>
        <w:t xml:space="preserve"> estará gravada a la tarifa establecida en el inciso 2º del </w:t>
      </w:r>
      <w:hyperlink r:id="rId25" w:tooltip="Estatuto Tributario CETA" w:history="1">
        <w:r w:rsidRPr="004537A9">
          <w:rPr>
            <w:rFonts w:eastAsia="Times New Roman" w:cs="Times New Roman"/>
            <w:szCs w:val="24"/>
            <w:u w:val="single"/>
            <w:lang w:eastAsia="es-CO"/>
          </w:rPr>
          <w:t>artículo 242</w:t>
        </w:r>
      </w:hyperlink>
      <w:r w:rsidRPr="004537A9">
        <w:rPr>
          <w:rFonts w:eastAsia="Times New Roman" w:cs="Times New Roman"/>
          <w:szCs w:val="24"/>
          <w:lang w:eastAsia="es-CO"/>
        </w:rPr>
        <w:t> del estatuto tributario.</w:t>
      </w:r>
    </w:p>
    <w:p w:rsidR="004537A9" w:rsidRPr="004537A9" w:rsidRDefault="004537A9" w:rsidP="004537A9">
      <w:pPr>
        <w:spacing w:after="0" w:line="240" w:lineRule="auto"/>
        <w:jc w:val="both"/>
        <w:rPr>
          <w:rFonts w:eastAsia="Times New Roman" w:cs="Times New Roman"/>
          <w:szCs w:val="24"/>
          <w:lang w:eastAsia="es-CO"/>
        </w:rPr>
      </w:pPr>
      <w:r w:rsidRPr="004537A9">
        <w:rPr>
          <w:rFonts w:eastAsia="Times New Roman" w:cs="Times New Roman"/>
          <w:szCs w:val="24"/>
          <w:lang w:eastAsia="es-CO"/>
        </w:rPr>
        <w:t> </w:t>
      </w:r>
    </w:p>
    <w:p w:rsidR="004537A9" w:rsidRPr="004537A9" w:rsidRDefault="004537A9" w:rsidP="004537A9">
      <w:pPr>
        <w:spacing w:after="0" w:line="240" w:lineRule="auto"/>
        <w:jc w:val="both"/>
        <w:rPr>
          <w:rFonts w:eastAsia="Times New Roman" w:cs="Times New Roman"/>
          <w:szCs w:val="24"/>
          <w:lang w:eastAsia="es-CO"/>
        </w:rPr>
      </w:pPr>
      <w:r w:rsidRPr="004537A9">
        <w:rPr>
          <w:rFonts w:eastAsia="Times New Roman" w:cs="Times New Roman"/>
          <w:szCs w:val="24"/>
          <w:lang w:eastAsia="es-CO"/>
        </w:rPr>
        <w:t>3.- ¿Como la utilidad que distribuye la sociedad “Y” corresponde a dividendos no gravados, </w:t>
      </w:r>
      <w:hyperlink r:id="rId26" w:tooltip="Estatuto Tributario CETA" w:history="1">
        <w:r w:rsidRPr="004537A9">
          <w:rPr>
            <w:rFonts w:eastAsia="Times New Roman" w:cs="Times New Roman"/>
            <w:szCs w:val="24"/>
            <w:u w:val="single"/>
            <w:lang w:eastAsia="es-CO"/>
          </w:rPr>
          <w:t>artículo 49</w:t>
        </w:r>
      </w:hyperlink>
      <w:r w:rsidRPr="004537A9">
        <w:rPr>
          <w:rFonts w:eastAsia="Times New Roman" w:cs="Times New Roman"/>
          <w:szCs w:val="24"/>
          <w:lang w:eastAsia="es-CO"/>
        </w:rPr>
        <w:t> Estatuto Tributario, provenientes de utilidades realizadas antes del año 2016, qué norma es aplicable a dicha operación?</w:t>
      </w:r>
    </w:p>
    <w:p w:rsidR="004537A9" w:rsidRPr="004537A9" w:rsidRDefault="004537A9" w:rsidP="004537A9">
      <w:pPr>
        <w:spacing w:after="0" w:line="240" w:lineRule="auto"/>
        <w:jc w:val="both"/>
        <w:rPr>
          <w:rFonts w:eastAsia="Times New Roman" w:cs="Times New Roman"/>
          <w:szCs w:val="24"/>
          <w:lang w:eastAsia="es-CO"/>
        </w:rPr>
      </w:pPr>
      <w:r w:rsidRPr="004537A9">
        <w:rPr>
          <w:rFonts w:eastAsia="Times New Roman" w:cs="Times New Roman"/>
          <w:szCs w:val="24"/>
          <w:lang w:eastAsia="es-CO"/>
        </w:rPr>
        <w:t> </w:t>
      </w:r>
    </w:p>
    <w:p w:rsidR="004537A9" w:rsidRPr="004537A9" w:rsidRDefault="004537A9" w:rsidP="004537A9">
      <w:pPr>
        <w:spacing w:after="0" w:line="240" w:lineRule="auto"/>
        <w:jc w:val="both"/>
        <w:rPr>
          <w:rFonts w:eastAsia="Times New Roman" w:cs="Times New Roman"/>
          <w:szCs w:val="24"/>
          <w:lang w:eastAsia="es-CO"/>
        </w:rPr>
      </w:pPr>
      <w:r w:rsidRPr="004537A9">
        <w:rPr>
          <w:rFonts w:eastAsia="Times New Roman" w:cs="Times New Roman"/>
          <w:szCs w:val="24"/>
          <w:lang w:eastAsia="es-CO"/>
        </w:rPr>
        <w:t>Debe tenerse en cuenta que, si la sociedad “Y” va a repartir dividendos por ingresos obtenidos en el año 2018, no se trata de utilidades realizadas en dicha sociedad antes del año 2016.</w:t>
      </w:r>
    </w:p>
    <w:p w:rsidR="004537A9" w:rsidRPr="004537A9" w:rsidRDefault="004537A9" w:rsidP="004537A9">
      <w:pPr>
        <w:spacing w:after="0" w:line="240" w:lineRule="auto"/>
        <w:jc w:val="both"/>
        <w:rPr>
          <w:rFonts w:eastAsia="Times New Roman" w:cs="Times New Roman"/>
          <w:szCs w:val="24"/>
          <w:lang w:eastAsia="es-CO"/>
        </w:rPr>
      </w:pPr>
      <w:r w:rsidRPr="004537A9">
        <w:rPr>
          <w:rFonts w:eastAsia="Times New Roman" w:cs="Times New Roman"/>
          <w:szCs w:val="24"/>
          <w:lang w:eastAsia="es-CO"/>
        </w:rPr>
        <w:t> </w:t>
      </w:r>
    </w:p>
    <w:p w:rsidR="004537A9" w:rsidRPr="004537A9" w:rsidRDefault="004537A9" w:rsidP="004537A9">
      <w:pPr>
        <w:spacing w:after="0" w:line="240" w:lineRule="auto"/>
        <w:jc w:val="both"/>
        <w:rPr>
          <w:rFonts w:eastAsia="Times New Roman" w:cs="Times New Roman"/>
          <w:szCs w:val="24"/>
          <w:lang w:eastAsia="es-CO"/>
        </w:rPr>
      </w:pPr>
      <w:r w:rsidRPr="004537A9">
        <w:rPr>
          <w:rFonts w:eastAsia="Times New Roman" w:cs="Times New Roman"/>
          <w:szCs w:val="24"/>
          <w:lang w:eastAsia="es-CO"/>
        </w:rPr>
        <w:t>De acuerdo con el caso hipotético planteado por la consulta, las utilidades realizadas antes del año 2016, corresponden a la empresa en la cual la sociedad tiene inversiones, y debieron ser declarados en cabeza de dicha sociedad, por tanto, no puede predicarse esta circunstancia de otra sociedad, tal como es el caso de los ingresos que recibe la sociedad “Y” en el año 2018.</w:t>
      </w:r>
    </w:p>
    <w:p w:rsidR="004537A9" w:rsidRPr="004537A9" w:rsidRDefault="004537A9" w:rsidP="004537A9">
      <w:pPr>
        <w:spacing w:after="0" w:line="240" w:lineRule="auto"/>
        <w:jc w:val="both"/>
        <w:rPr>
          <w:rFonts w:eastAsia="Times New Roman" w:cs="Times New Roman"/>
          <w:szCs w:val="24"/>
          <w:lang w:eastAsia="es-CO"/>
        </w:rPr>
      </w:pPr>
      <w:r w:rsidRPr="004537A9">
        <w:rPr>
          <w:rFonts w:eastAsia="Times New Roman" w:cs="Times New Roman"/>
          <w:szCs w:val="24"/>
          <w:lang w:eastAsia="es-CO"/>
        </w:rPr>
        <w:t> </w:t>
      </w:r>
    </w:p>
    <w:p w:rsidR="004537A9" w:rsidRPr="004537A9" w:rsidRDefault="004537A9" w:rsidP="004537A9">
      <w:pPr>
        <w:spacing w:after="0" w:line="240" w:lineRule="auto"/>
        <w:jc w:val="both"/>
        <w:rPr>
          <w:rFonts w:eastAsia="Times New Roman" w:cs="Times New Roman"/>
          <w:szCs w:val="24"/>
          <w:lang w:eastAsia="es-CO"/>
        </w:rPr>
      </w:pPr>
      <w:r w:rsidRPr="004537A9">
        <w:rPr>
          <w:rFonts w:eastAsia="Times New Roman" w:cs="Times New Roman"/>
          <w:szCs w:val="24"/>
          <w:lang w:eastAsia="es-CO"/>
        </w:rPr>
        <w:t>Lo anterior, en concordancia con lo que se explicó con anterioridad en las respuestas 1 y 2</w:t>
      </w:r>
    </w:p>
    <w:p w:rsidR="004537A9" w:rsidRPr="004537A9" w:rsidRDefault="004537A9" w:rsidP="004537A9">
      <w:pPr>
        <w:spacing w:after="0" w:line="240" w:lineRule="auto"/>
        <w:jc w:val="both"/>
        <w:rPr>
          <w:rFonts w:eastAsia="Times New Roman" w:cs="Times New Roman"/>
          <w:szCs w:val="24"/>
          <w:lang w:eastAsia="es-CO"/>
        </w:rPr>
      </w:pPr>
      <w:r w:rsidRPr="004537A9">
        <w:rPr>
          <w:rFonts w:eastAsia="Times New Roman" w:cs="Times New Roman"/>
          <w:szCs w:val="24"/>
          <w:lang w:eastAsia="es-CO"/>
        </w:rPr>
        <w:t> </w:t>
      </w:r>
    </w:p>
    <w:p w:rsidR="004537A9" w:rsidRPr="004537A9" w:rsidRDefault="004537A9" w:rsidP="004537A9">
      <w:pPr>
        <w:spacing w:after="0" w:line="240" w:lineRule="auto"/>
        <w:jc w:val="both"/>
        <w:rPr>
          <w:rFonts w:eastAsia="Times New Roman" w:cs="Times New Roman"/>
          <w:szCs w:val="24"/>
          <w:lang w:eastAsia="es-CO"/>
        </w:rPr>
      </w:pPr>
      <w:r w:rsidRPr="004537A9">
        <w:rPr>
          <w:rFonts w:eastAsia="Times New Roman" w:cs="Times New Roman"/>
          <w:szCs w:val="24"/>
          <w:lang w:eastAsia="es-CO"/>
        </w:rPr>
        <w:t xml:space="preserve">En la misma línea hay que tener en cuenta que los beneficios aplicables a la sociedad que produce las utilidades y dividendos y los declara como propios inicialmente son diferentes de la sociedad que los recibe, habida cuenta que la segunda sociedad (la que recibe los </w:t>
      </w:r>
      <w:r w:rsidRPr="004537A9">
        <w:rPr>
          <w:rFonts w:eastAsia="Times New Roman" w:cs="Times New Roman"/>
          <w:szCs w:val="24"/>
          <w:lang w:eastAsia="es-CO"/>
        </w:rPr>
        <w:lastRenderedPageBreak/>
        <w:t>dividendos no gravados) los debe registrar como ingresos por concepto de dividendos. Diferenciándolos de sus dividendos propios.</w:t>
      </w:r>
    </w:p>
    <w:p w:rsidR="004537A9" w:rsidRPr="004537A9" w:rsidRDefault="004537A9" w:rsidP="004537A9">
      <w:pPr>
        <w:spacing w:after="0" w:line="240" w:lineRule="auto"/>
        <w:jc w:val="both"/>
        <w:rPr>
          <w:rFonts w:eastAsia="Times New Roman" w:cs="Times New Roman"/>
          <w:szCs w:val="24"/>
          <w:lang w:eastAsia="es-CO"/>
        </w:rPr>
      </w:pPr>
      <w:r w:rsidRPr="004537A9">
        <w:rPr>
          <w:rFonts w:eastAsia="Times New Roman" w:cs="Times New Roman"/>
          <w:szCs w:val="24"/>
          <w:lang w:eastAsia="es-CO"/>
        </w:rPr>
        <w:t> </w:t>
      </w:r>
    </w:p>
    <w:p w:rsidR="004537A9" w:rsidRPr="004537A9" w:rsidRDefault="004537A9" w:rsidP="004537A9">
      <w:pPr>
        <w:spacing w:after="0" w:line="240" w:lineRule="auto"/>
        <w:jc w:val="both"/>
        <w:rPr>
          <w:rFonts w:eastAsia="Times New Roman" w:cs="Times New Roman"/>
          <w:szCs w:val="24"/>
          <w:lang w:eastAsia="es-CO"/>
        </w:rPr>
      </w:pPr>
      <w:r w:rsidRPr="004537A9">
        <w:rPr>
          <w:rFonts w:eastAsia="Times New Roman" w:cs="Times New Roman"/>
          <w:szCs w:val="24"/>
          <w:lang w:eastAsia="es-CO"/>
        </w:rPr>
        <w:t>En este contexto, al tener fundamento todas las preguntas en ingresos obtenidos en el año 2018, aplican las normas actuales que regulan el tema con la reforma introducida por la Ley 1819 de 2016.</w:t>
      </w:r>
    </w:p>
    <w:p w:rsidR="004537A9" w:rsidRPr="004537A9" w:rsidRDefault="004537A9" w:rsidP="004537A9">
      <w:pPr>
        <w:spacing w:after="0" w:line="240" w:lineRule="auto"/>
        <w:jc w:val="both"/>
        <w:rPr>
          <w:rFonts w:eastAsia="Times New Roman" w:cs="Times New Roman"/>
          <w:szCs w:val="24"/>
          <w:lang w:eastAsia="es-CO"/>
        </w:rPr>
      </w:pPr>
      <w:r w:rsidRPr="004537A9">
        <w:rPr>
          <w:rFonts w:eastAsia="Times New Roman" w:cs="Times New Roman"/>
          <w:szCs w:val="24"/>
          <w:lang w:eastAsia="es-CO"/>
        </w:rPr>
        <w:t> </w:t>
      </w:r>
    </w:p>
    <w:p w:rsidR="004537A9" w:rsidRPr="004537A9" w:rsidRDefault="004537A9" w:rsidP="004537A9">
      <w:pPr>
        <w:spacing w:after="0" w:line="240" w:lineRule="auto"/>
        <w:jc w:val="both"/>
        <w:rPr>
          <w:rFonts w:eastAsia="Times New Roman" w:cs="Times New Roman"/>
          <w:szCs w:val="24"/>
          <w:lang w:eastAsia="es-CO"/>
        </w:rPr>
      </w:pPr>
    </w:p>
    <w:p w:rsidR="004537A9" w:rsidRPr="004537A9" w:rsidRDefault="004537A9" w:rsidP="004537A9">
      <w:pPr>
        <w:spacing w:after="0" w:line="240" w:lineRule="auto"/>
        <w:jc w:val="both"/>
        <w:rPr>
          <w:rFonts w:eastAsia="Times New Roman" w:cs="Times New Roman"/>
          <w:szCs w:val="24"/>
          <w:lang w:eastAsia="es-CO"/>
        </w:rPr>
      </w:pPr>
      <w:r w:rsidRPr="004537A9">
        <w:rPr>
          <w:rFonts w:eastAsia="Times New Roman" w:cs="Times New Roman"/>
          <w:szCs w:val="24"/>
          <w:lang w:eastAsia="es-CO"/>
        </w:rPr>
        <w:t>Atentamente,</w:t>
      </w:r>
    </w:p>
    <w:p w:rsidR="004537A9" w:rsidRPr="004537A9" w:rsidRDefault="004537A9" w:rsidP="004537A9">
      <w:pPr>
        <w:spacing w:after="0" w:line="240" w:lineRule="auto"/>
        <w:jc w:val="both"/>
        <w:rPr>
          <w:rFonts w:eastAsia="Times New Roman" w:cs="Times New Roman"/>
          <w:szCs w:val="24"/>
          <w:lang w:eastAsia="es-CO"/>
        </w:rPr>
      </w:pPr>
      <w:r w:rsidRPr="004537A9">
        <w:rPr>
          <w:rFonts w:eastAsia="Times New Roman" w:cs="Times New Roman"/>
          <w:szCs w:val="24"/>
          <w:lang w:eastAsia="es-CO"/>
        </w:rPr>
        <w:t> </w:t>
      </w:r>
    </w:p>
    <w:p w:rsidR="004537A9" w:rsidRPr="004537A9" w:rsidRDefault="004537A9" w:rsidP="004537A9">
      <w:pPr>
        <w:spacing w:after="0" w:line="240" w:lineRule="auto"/>
        <w:jc w:val="both"/>
        <w:rPr>
          <w:rFonts w:eastAsia="Times New Roman" w:cs="Times New Roman"/>
          <w:szCs w:val="24"/>
          <w:lang w:eastAsia="es-CO"/>
        </w:rPr>
      </w:pPr>
      <w:r w:rsidRPr="004537A9">
        <w:rPr>
          <w:rFonts w:eastAsia="Times New Roman" w:cs="Times New Roman"/>
          <w:szCs w:val="24"/>
          <w:lang w:eastAsia="es-CO"/>
        </w:rPr>
        <w:t> </w:t>
      </w:r>
    </w:p>
    <w:p w:rsidR="004537A9" w:rsidRPr="004537A9" w:rsidRDefault="004537A9" w:rsidP="004537A9">
      <w:pPr>
        <w:spacing w:after="0" w:line="240" w:lineRule="auto"/>
        <w:jc w:val="both"/>
        <w:rPr>
          <w:rFonts w:eastAsia="Times New Roman" w:cs="Times New Roman"/>
          <w:szCs w:val="24"/>
          <w:lang w:eastAsia="es-CO"/>
        </w:rPr>
      </w:pPr>
      <w:r w:rsidRPr="004537A9">
        <w:rPr>
          <w:rFonts w:eastAsia="Times New Roman" w:cs="Times New Roman"/>
          <w:b/>
          <w:bCs/>
          <w:szCs w:val="24"/>
          <w:lang w:eastAsia="es-CO"/>
        </w:rPr>
        <w:t>LORENZO CASTILLO BARVO</w:t>
      </w:r>
    </w:p>
    <w:p w:rsidR="004537A9" w:rsidRPr="004537A9" w:rsidRDefault="004537A9" w:rsidP="004537A9">
      <w:pPr>
        <w:spacing w:after="0" w:line="240" w:lineRule="auto"/>
        <w:jc w:val="both"/>
        <w:rPr>
          <w:rFonts w:eastAsia="Times New Roman" w:cs="Times New Roman"/>
          <w:szCs w:val="24"/>
          <w:lang w:eastAsia="es-CO"/>
        </w:rPr>
      </w:pPr>
      <w:r w:rsidRPr="004537A9">
        <w:rPr>
          <w:rFonts w:eastAsia="Times New Roman" w:cs="Times New Roman"/>
          <w:szCs w:val="24"/>
          <w:lang w:eastAsia="es-CO"/>
        </w:rPr>
        <w:t>Subdirector de Gestión Normativa y Doctrina (E)</w:t>
      </w:r>
    </w:p>
    <w:p w:rsidR="004537A9" w:rsidRPr="004537A9" w:rsidRDefault="004537A9" w:rsidP="004537A9">
      <w:pPr>
        <w:spacing w:after="0" w:line="240" w:lineRule="auto"/>
        <w:jc w:val="both"/>
        <w:rPr>
          <w:rFonts w:eastAsia="Times New Roman" w:cs="Times New Roman"/>
          <w:szCs w:val="24"/>
          <w:lang w:eastAsia="es-CO"/>
        </w:rPr>
      </w:pPr>
      <w:r w:rsidRPr="004537A9">
        <w:rPr>
          <w:rFonts w:eastAsia="Times New Roman" w:cs="Times New Roman"/>
          <w:szCs w:val="24"/>
          <w:lang w:eastAsia="es-CO"/>
        </w:rPr>
        <w:t>Dirección de Gestión Jurídica UAE-DIAN</w:t>
      </w:r>
    </w:p>
    <w:p w:rsidR="00730617" w:rsidRPr="004537A9" w:rsidRDefault="00730617">
      <w:pPr>
        <w:rPr>
          <w:rFonts w:cs="Times New Roman"/>
          <w:szCs w:val="24"/>
        </w:rPr>
      </w:pPr>
    </w:p>
    <w:sectPr w:rsidR="00730617" w:rsidRPr="004537A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7A9"/>
    <w:rsid w:val="004537A9"/>
    <w:rsid w:val="0073061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E4428"/>
  <w15:chartTrackingRefBased/>
  <w15:docId w15:val="{04AFB2E0-BD52-46FB-BCC9-51F410DD9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613980">
      <w:bodyDiv w:val="1"/>
      <w:marLeft w:val="0"/>
      <w:marRight w:val="0"/>
      <w:marTop w:val="0"/>
      <w:marBottom w:val="0"/>
      <w:divBdr>
        <w:top w:val="none" w:sz="0" w:space="0" w:color="auto"/>
        <w:left w:val="none" w:sz="0" w:space="0" w:color="auto"/>
        <w:bottom w:val="none" w:sz="0" w:space="0" w:color="auto"/>
        <w:right w:val="none" w:sz="0" w:space="0" w:color="auto"/>
      </w:divBdr>
    </w:div>
    <w:div w:id="1211262841">
      <w:bodyDiv w:val="1"/>
      <w:marLeft w:val="0"/>
      <w:marRight w:val="0"/>
      <w:marTop w:val="0"/>
      <w:marBottom w:val="0"/>
      <w:divBdr>
        <w:top w:val="none" w:sz="0" w:space="0" w:color="auto"/>
        <w:left w:val="none" w:sz="0" w:space="0" w:color="auto"/>
        <w:bottom w:val="none" w:sz="0" w:space="0" w:color="auto"/>
        <w:right w:val="none" w:sz="0" w:space="0" w:color="auto"/>
      </w:divBdr>
    </w:div>
    <w:div w:id="1439448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421" TargetMode="External"/><Relationship Id="rId13" Type="http://schemas.openxmlformats.org/officeDocument/2006/relationships/hyperlink" Target="https://www.ceta.org.co/html/vista_de_un_articulo.asp?Norma=421" TargetMode="External"/><Relationship Id="rId18" Type="http://schemas.openxmlformats.org/officeDocument/2006/relationships/hyperlink" Target="https://www.ceta.org.co/html/vista_de_un_articulo.asp?Norma=88" TargetMode="External"/><Relationship Id="rId26" Type="http://schemas.openxmlformats.org/officeDocument/2006/relationships/hyperlink" Target="https://www.ceta.org.co/html/vista_de_un_articulo.asp?Norma=88" TargetMode="External"/><Relationship Id="rId3" Type="http://schemas.openxmlformats.org/officeDocument/2006/relationships/webSettings" Target="webSettings.xml"/><Relationship Id="rId21" Type="http://schemas.openxmlformats.org/officeDocument/2006/relationships/hyperlink" Target="https://www.ceta.org.co/html/vista_de_un_articulo.asp?Norma=422" TargetMode="External"/><Relationship Id="rId7" Type="http://schemas.openxmlformats.org/officeDocument/2006/relationships/hyperlink" Target="https://www.ceta.org.co/html/vista_de_un_articulo.asp?Norma=313" TargetMode="External"/><Relationship Id="rId12" Type="http://schemas.openxmlformats.org/officeDocument/2006/relationships/hyperlink" Target="https://www.ceta.org.co/html/vista_de_un_articulo.asp?Norma=313" TargetMode="External"/><Relationship Id="rId17" Type="http://schemas.openxmlformats.org/officeDocument/2006/relationships/hyperlink" Target="https://www.ceta.org.co/html/vista_de_un_articulo.asp?Norma=313" TargetMode="External"/><Relationship Id="rId25" Type="http://schemas.openxmlformats.org/officeDocument/2006/relationships/hyperlink" Target="https://www.ceta.org.co/html/vista_de_un_articulo.asp?Norma=313" TargetMode="External"/><Relationship Id="rId2" Type="http://schemas.openxmlformats.org/officeDocument/2006/relationships/settings" Target="settings.xml"/><Relationship Id="rId16" Type="http://schemas.openxmlformats.org/officeDocument/2006/relationships/hyperlink" Target="https://www.ceta.org.co/html/vista_de_un_articulo.asp?Norma=327" TargetMode="External"/><Relationship Id="rId20" Type="http://schemas.openxmlformats.org/officeDocument/2006/relationships/hyperlink" Target="https://www.ceta.org.co/html/vista_de_un_articulo.asp?Norma=421" TargetMode="External"/><Relationship Id="rId1" Type="http://schemas.openxmlformats.org/officeDocument/2006/relationships/styles" Target="styles.xml"/><Relationship Id="rId6" Type="http://schemas.openxmlformats.org/officeDocument/2006/relationships/hyperlink" Target="https://www.ceta.org.co/html/vista_de_un_articulo.asp?Norma=88" TargetMode="External"/><Relationship Id="rId11" Type="http://schemas.openxmlformats.org/officeDocument/2006/relationships/hyperlink" Target="https://www.ceta.org.co/html/vista_de_un_articulo.asp?Norma=88" TargetMode="External"/><Relationship Id="rId24" Type="http://schemas.openxmlformats.org/officeDocument/2006/relationships/hyperlink" Target="https://www.ceta.org.co/html/vista_de_un_articulo.asp?Norma=88" TargetMode="External"/><Relationship Id="rId5" Type="http://schemas.openxmlformats.org/officeDocument/2006/relationships/hyperlink" Target="https://www.ceta.org.co/html/vista_de_un_articulo.asp?Norma=87" TargetMode="External"/><Relationship Id="rId15" Type="http://schemas.openxmlformats.org/officeDocument/2006/relationships/hyperlink" Target="https://www.ceta.org.co/html/vista_de_un_articulo.asp?Norma=88" TargetMode="External"/><Relationship Id="rId23" Type="http://schemas.openxmlformats.org/officeDocument/2006/relationships/hyperlink" Target="https://www.ceta.org.co/html/vista_de_un_articulo.asp?Norma=313" TargetMode="External"/><Relationship Id="rId28" Type="http://schemas.openxmlformats.org/officeDocument/2006/relationships/theme" Target="theme/theme1.xml"/><Relationship Id="rId10" Type="http://schemas.openxmlformats.org/officeDocument/2006/relationships/hyperlink" Target="https://www.ceta.org.co/html/vista_de_un_articulo.asp?Norma=87" TargetMode="External"/><Relationship Id="rId19" Type="http://schemas.openxmlformats.org/officeDocument/2006/relationships/hyperlink" Target="https://www.ceta.org.co/html/vista_de_un_articulo.asp?Norma=88" TargetMode="External"/><Relationship Id="rId4" Type="http://schemas.openxmlformats.org/officeDocument/2006/relationships/hyperlink" Target="mailto:info@cenergyc.com" TargetMode="External"/><Relationship Id="rId9" Type="http://schemas.openxmlformats.org/officeDocument/2006/relationships/hyperlink" Target="https://www.ceta.org.co/html/vista_de_un_articulo.asp?Norma=422" TargetMode="External"/><Relationship Id="rId14" Type="http://schemas.openxmlformats.org/officeDocument/2006/relationships/hyperlink" Target="https://www.ceta.org.co/html/vista_de_un_articulo.asp?Norma=87" TargetMode="External"/><Relationship Id="rId22" Type="http://schemas.openxmlformats.org/officeDocument/2006/relationships/hyperlink" Target="https://www.ceta.org.co/html/vista_de_un_articulo.asp?Norma=88" TargetMode="External"/><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2473</Words>
  <Characters>13607</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2019-01-24T21:18:00Z</dcterms:created>
  <dcterms:modified xsi:type="dcterms:W3CDTF">2019-01-24T21:21:00Z</dcterms:modified>
</cp:coreProperties>
</file>